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EEC" w:rsidRDefault="00093EEC" w:rsidP="00093EEC">
      <w:pPr>
        <w:autoSpaceDE w:val="0"/>
        <w:autoSpaceDN w:val="0"/>
        <w:adjustRightInd w:val="0"/>
        <w:spacing w:after="200" w:line="240" w:lineRule="auto"/>
        <w:jc w:val="center"/>
        <w:rPr>
          <w:rFonts w:ascii="Arial Narrow" w:hAnsi="Arial Narrow" w:cs="Arial Narrow"/>
          <w:b/>
          <w:bCs/>
          <w:sz w:val="24"/>
          <w:szCs w:val="24"/>
          <w:u w:val="single"/>
          <w:lang w:val="es"/>
        </w:rPr>
      </w:pPr>
    </w:p>
    <w:p w:rsidR="00093EEC" w:rsidRDefault="00093EEC" w:rsidP="00093EEC">
      <w:pPr>
        <w:autoSpaceDE w:val="0"/>
        <w:autoSpaceDN w:val="0"/>
        <w:adjustRightInd w:val="0"/>
        <w:spacing w:after="200" w:line="240" w:lineRule="auto"/>
        <w:jc w:val="center"/>
        <w:rPr>
          <w:rFonts w:ascii="Arial Narrow" w:hAnsi="Arial Narrow" w:cs="Arial Narrow"/>
          <w:b/>
          <w:bCs/>
          <w:sz w:val="24"/>
          <w:szCs w:val="24"/>
          <w:u w:val="single"/>
          <w:lang w:val="es"/>
        </w:rPr>
      </w:pPr>
    </w:p>
    <w:p w:rsidR="00093EEC" w:rsidRDefault="00093EEC" w:rsidP="00093EEC">
      <w:pPr>
        <w:autoSpaceDE w:val="0"/>
        <w:autoSpaceDN w:val="0"/>
        <w:adjustRightInd w:val="0"/>
        <w:spacing w:after="200" w:line="240" w:lineRule="auto"/>
        <w:rPr>
          <w:rFonts w:ascii="Arial Narrow" w:hAnsi="Arial Narrow" w:cs="Arial Narrow"/>
          <w:b/>
          <w:bCs/>
          <w:sz w:val="24"/>
          <w:szCs w:val="24"/>
          <w:u w:val="single"/>
          <w:lang w:val="es"/>
        </w:rPr>
      </w:pPr>
      <w:r>
        <w:rPr>
          <w:rFonts w:ascii="Arial Narrow" w:hAnsi="Arial Narrow" w:cs="Arial Narrow"/>
          <w:b/>
          <w:bCs/>
          <w:sz w:val="24"/>
          <w:szCs w:val="24"/>
          <w:u w:val="single"/>
          <w:lang w:val="es"/>
        </w:rPr>
        <w:t>INFORME Nº</w:t>
      </w:r>
      <w:r w:rsidR="007E1530" w:rsidRPr="007E1530">
        <w:t xml:space="preserve"> </w:t>
      </w:r>
      <w:r w:rsidR="007E1530" w:rsidRPr="007E1530">
        <w:rPr>
          <w:rFonts w:ascii="Arial Narrow" w:hAnsi="Arial Narrow" w:cs="Arial Narrow"/>
          <w:b/>
          <w:bCs/>
          <w:sz w:val="24"/>
          <w:szCs w:val="24"/>
          <w:u w:val="single"/>
          <w:lang w:val="es"/>
        </w:rPr>
        <w:t>00044</w:t>
      </w:r>
      <w:bookmarkStart w:id="0" w:name="_GoBack"/>
      <w:bookmarkEnd w:id="0"/>
      <w:r>
        <w:rPr>
          <w:rFonts w:ascii="Arial Narrow" w:hAnsi="Arial Narrow" w:cs="Arial Narrow"/>
          <w:b/>
          <w:bCs/>
          <w:sz w:val="24"/>
          <w:szCs w:val="24"/>
          <w:u w:val="single"/>
          <w:lang w:val="es"/>
        </w:rPr>
        <w:t xml:space="preserve"> </w:t>
      </w:r>
      <w:r w:rsidRPr="00037853">
        <w:rPr>
          <w:rFonts w:ascii="Arial Narrow" w:hAnsi="Arial Narrow" w:cs="Arial Narrow"/>
          <w:b/>
          <w:bCs/>
          <w:sz w:val="24"/>
          <w:szCs w:val="24"/>
          <w:u w:val="single"/>
          <w:lang w:val="es"/>
        </w:rPr>
        <w:t>/GOB.REG-HVCA/DIRESA-HPT-SEMERG</w:t>
      </w:r>
    </w:p>
    <w:p w:rsidR="00093EEC" w:rsidRPr="00622CA6" w:rsidRDefault="00093EEC" w:rsidP="00093EEC">
      <w:pPr>
        <w:tabs>
          <w:tab w:val="left" w:pos="1276"/>
          <w:tab w:val="left" w:pos="1560"/>
        </w:tabs>
        <w:spacing w:after="0" w:line="240" w:lineRule="auto"/>
        <w:ind w:left="1560" w:hanging="1560"/>
        <w:jc w:val="both"/>
        <w:rPr>
          <w:rFonts w:ascii="Arial Narrow" w:hAnsi="Arial Narrow" w:cs="Arial"/>
          <w:sz w:val="20"/>
          <w:szCs w:val="20"/>
        </w:rPr>
      </w:pPr>
      <w:r>
        <w:rPr>
          <w:rFonts w:ascii="Arial Narrow" w:hAnsi="Arial Narrow" w:cs="Arial Narrow"/>
          <w:i/>
          <w:iCs/>
          <w:sz w:val="20"/>
          <w:szCs w:val="20"/>
          <w:lang w:val="es"/>
        </w:rPr>
        <w:t>A</w:t>
      </w:r>
      <w:r>
        <w:rPr>
          <w:rFonts w:ascii="Arial Narrow" w:hAnsi="Arial Narrow" w:cs="Arial Narrow"/>
          <w:i/>
          <w:iCs/>
          <w:sz w:val="20"/>
          <w:szCs w:val="20"/>
          <w:lang w:val="es"/>
        </w:rPr>
        <w:tab/>
        <w:t>:</w:t>
      </w:r>
      <w:r>
        <w:rPr>
          <w:rFonts w:ascii="Arial Narrow" w:hAnsi="Arial Narrow" w:cs="Arial Narrow"/>
          <w:i/>
          <w:iCs/>
          <w:sz w:val="20"/>
          <w:szCs w:val="20"/>
          <w:lang w:val="es"/>
        </w:rPr>
        <w:tab/>
        <w:t>Mg. CESAR A. VILLANUEVA MEDINA</w:t>
      </w:r>
    </w:p>
    <w:p w:rsidR="00093EEC" w:rsidRDefault="00093EEC" w:rsidP="00093EEC">
      <w:pPr>
        <w:tabs>
          <w:tab w:val="left" w:pos="1276"/>
          <w:tab w:val="left" w:pos="1560"/>
        </w:tabs>
        <w:spacing w:line="240" w:lineRule="auto"/>
        <w:ind w:left="1560" w:hanging="1560"/>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DIRECT</w:t>
      </w:r>
      <w:r w:rsidRPr="00622CA6">
        <w:rPr>
          <w:rFonts w:ascii="Arial Narrow" w:hAnsi="Arial Narrow" w:cs="Arial"/>
          <w:sz w:val="20"/>
          <w:szCs w:val="20"/>
        </w:rPr>
        <w:t>OR</w:t>
      </w:r>
      <w:r>
        <w:rPr>
          <w:rFonts w:ascii="Arial Narrow" w:hAnsi="Arial Narrow" w:cs="Arial"/>
          <w:sz w:val="20"/>
          <w:szCs w:val="20"/>
        </w:rPr>
        <w:t xml:space="preserve"> EJECUTIVO</w:t>
      </w:r>
      <w:r w:rsidRPr="00622CA6">
        <w:rPr>
          <w:rFonts w:ascii="Arial Narrow" w:hAnsi="Arial Narrow" w:cs="Arial"/>
          <w:sz w:val="20"/>
          <w:szCs w:val="20"/>
        </w:rPr>
        <w:t xml:space="preserve"> DEL HOSPITAL DE PAMPAS</w:t>
      </w:r>
    </w:p>
    <w:p w:rsidR="00093EEC" w:rsidRDefault="00093EEC" w:rsidP="00093EEC">
      <w:pPr>
        <w:tabs>
          <w:tab w:val="left" w:pos="1276"/>
          <w:tab w:val="left" w:pos="1560"/>
        </w:tabs>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DE</w:t>
      </w:r>
      <w:r>
        <w:rPr>
          <w:rFonts w:ascii="Arial Narrow" w:hAnsi="Arial Narrow" w:cs="Arial Narrow"/>
          <w:i/>
          <w:iCs/>
          <w:sz w:val="20"/>
          <w:szCs w:val="20"/>
          <w:lang w:val="es"/>
        </w:rPr>
        <w:tab/>
        <w:t>:</w:t>
      </w:r>
      <w:r>
        <w:rPr>
          <w:rFonts w:ascii="Arial Narrow" w:hAnsi="Arial Narrow" w:cs="Arial Narrow"/>
          <w:i/>
          <w:iCs/>
          <w:sz w:val="20"/>
          <w:szCs w:val="20"/>
          <w:lang w:val="es"/>
        </w:rPr>
        <w:tab/>
        <w:t xml:space="preserve">DR. HECTOR D. GONZALES OTAIRO </w:t>
      </w:r>
    </w:p>
    <w:p w:rsidR="00093EEC" w:rsidRDefault="00093EEC" w:rsidP="00093EEC">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ab/>
      </w:r>
      <w:r>
        <w:rPr>
          <w:rFonts w:ascii="Arial Narrow" w:hAnsi="Arial Narrow" w:cs="Arial Narrow"/>
          <w:i/>
          <w:iCs/>
          <w:sz w:val="20"/>
          <w:szCs w:val="20"/>
          <w:lang w:val="es"/>
        </w:rPr>
        <w:tab/>
        <w:t>JEFATURA DE LA UPSS DE EMERGENCIA DEL HOSPITAL DE PAMPAS</w:t>
      </w:r>
    </w:p>
    <w:p w:rsidR="00093EEC" w:rsidRDefault="00093EEC" w:rsidP="00093EEC">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CON ATENCIÓN</w:t>
      </w:r>
      <w:r>
        <w:rPr>
          <w:rFonts w:ascii="Arial Narrow" w:hAnsi="Arial Narrow" w:cs="Arial Narrow"/>
          <w:i/>
          <w:iCs/>
          <w:sz w:val="20"/>
          <w:szCs w:val="20"/>
          <w:lang w:val="es"/>
        </w:rPr>
        <w:tab/>
        <w:t>:</w:t>
      </w:r>
      <w:r>
        <w:rPr>
          <w:rFonts w:ascii="Arial Narrow" w:hAnsi="Arial Narrow" w:cs="Arial Narrow"/>
          <w:i/>
          <w:iCs/>
          <w:sz w:val="20"/>
          <w:szCs w:val="20"/>
          <w:lang w:val="es"/>
        </w:rPr>
        <w:tab/>
        <w:t>JEFATURA DE RECURSOS HUMANOS</w:t>
      </w:r>
    </w:p>
    <w:p w:rsidR="00093EEC" w:rsidRDefault="00093EEC" w:rsidP="00093EEC">
      <w:pPr>
        <w:tabs>
          <w:tab w:val="left" w:pos="1276"/>
          <w:tab w:val="left" w:pos="1560"/>
        </w:tabs>
        <w:autoSpaceDE w:val="0"/>
        <w:autoSpaceDN w:val="0"/>
        <w:adjustRightInd w:val="0"/>
        <w:spacing w:after="0" w:line="240" w:lineRule="auto"/>
        <w:ind w:left="1560" w:hanging="1560"/>
        <w:jc w:val="both"/>
        <w:rPr>
          <w:rFonts w:ascii="Arial Narrow" w:hAnsi="Arial Narrow" w:cs="Arial"/>
          <w:b/>
          <w:sz w:val="20"/>
          <w:szCs w:val="20"/>
        </w:rPr>
      </w:pPr>
      <w:r>
        <w:rPr>
          <w:rFonts w:ascii="Arial Narrow" w:hAnsi="Arial Narrow" w:cs="Arial Narrow"/>
          <w:i/>
          <w:iCs/>
          <w:sz w:val="20"/>
          <w:szCs w:val="20"/>
          <w:lang w:val="es"/>
        </w:rPr>
        <w:t>ASUNTO</w:t>
      </w:r>
      <w:r>
        <w:rPr>
          <w:rFonts w:ascii="Arial Narrow" w:hAnsi="Arial Narrow" w:cs="Arial Narrow"/>
          <w:i/>
          <w:iCs/>
          <w:sz w:val="20"/>
          <w:szCs w:val="20"/>
          <w:lang w:val="es"/>
        </w:rPr>
        <w:tab/>
        <w:t>:</w:t>
      </w:r>
      <w:r>
        <w:rPr>
          <w:rFonts w:ascii="Arial Narrow" w:hAnsi="Arial Narrow" w:cs="Arial Narrow"/>
          <w:i/>
          <w:iCs/>
          <w:sz w:val="20"/>
          <w:szCs w:val="20"/>
          <w:lang w:val="es"/>
        </w:rPr>
        <w:tab/>
      </w:r>
      <w:r>
        <w:rPr>
          <w:rFonts w:ascii="Arial Narrow" w:hAnsi="Arial Narrow" w:cs="Arial"/>
          <w:b/>
          <w:sz w:val="20"/>
          <w:szCs w:val="20"/>
        </w:rPr>
        <w:t xml:space="preserve">SUSTENTO TECNICO PARA PAGO DE GUARDIAS HOSPITALARIAS PARA EL MES DE JUNIO 2026 </w:t>
      </w:r>
    </w:p>
    <w:p w:rsidR="00093EEC" w:rsidRDefault="00093EEC" w:rsidP="00093EEC">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p>
    <w:p w:rsidR="00093EEC" w:rsidRDefault="00093EEC" w:rsidP="00093EEC">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FECHA</w:t>
      </w:r>
      <w:r>
        <w:rPr>
          <w:rFonts w:ascii="Arial Narrow" w:hAnsi="Arial Narrow" w:cs="Arial Narrow"/>
          <w:i/>
          <w:iCs/>
          <w:sz w:val="20"/>
          <w:szCs w:val="20"/>
          <w:lang w:val="es"/>
        </w:rPr>
        <w:tab/>
        <w:t xml:space="preserve">: </w:t>
      </w:r>
      <w:r>
        <w:rPr>
          <w:rFonts w:ascii="Arial Narrow" w:hAnsi="Arial Narrow" w:cs="Arial Narrow"/>
          <w:i/>
          <w:iCs/>
          <w:sz w:val="20"/>
          <w:szCs w:val="20"/>
          <w:lang w:val="es"/>
        </w:rPr>
        <w:tab/>
        <w:t>Pampas, 21 de mayo de 2026</w:t>
      </w:r>
    </w:p>
    <w:p w:rsidR="00093EEC" w:rsidRDefault="00093EEC" w:rsidP="00093EEC">
      <w:pPr>
        <w:spacing w:line="240" w:lineRule="auto"/>
        <w:rPr>
          <w:lang w:val="es"/>
        </w:rPr>
      </w:pPr>
    </w:p>
    <w:p w:rsidR="00093EEC" w:rsidRPr="00CC22BB" w:rsidRDefault="00093EEC" w:rsidP="00093EEC">
      <w:pPr>
        <w:spacing w:line="360" w:lineRule="auto"/>
        <w:jc w:val="both"/>
        <w:rPr>
          <w:rFonts w:ascii="Arial" w:hAnsi="Arial" w:cs="Arial"/>
          <w:iCs/>
          <w:lang w:val="es"/>
        </w:rPr>
      </w:pPr>
      <w:r w:rsidRPr="00CC22BB">
        <w:rPr>
          <w:rFonts w:ascii="Arial" w:hAnsi="Arial" w:cs="Arial"/>
          <w:iCs/>
          <w:lang w:val="es"/>
        </w:rPr>
        <w:t>Por medio del presente me es grato dirigirme a Usted, aprovechando la oportunidad para saludarlo e infórmale lo siguiente:</w:t>
      </w:r>
    </w:p>
    <w:p w:rsidR="00093EEC" w:rsidRPr="00CC22BB" w:rsidRDefault="00093EEC" w:rsidP="00093EEC">
      <w:pPr>
        <w:spacing w:line="360" w:lineRule="auto"/>
        <w:jc w:val="both"/>
        <w:rPr>
          <w:rFonts w:ascii="Arial" w:hAnsi="Arial" w:cs="Arial"/>
        </w:rPr>
      </w:pPr>
      <w:r w:rsidRPr="00CC22BB">
        <w:rPr>
          <w:rFonts w:ascii="Arial" w:hAnsi="Arial" w:cs="Arial"/>
          <w:b/>
        </w:rPr>
        <w:t xml:space="preserve">PRIMERO. - </w:t>
      </w:r>
      <w:r w:rsidRPr="00CC22BB">
        <w:rPr>
          <w:rFonts w:ascii="Arial" w:hAnsi="Arial" w:cs="Arial"/>
        </w:rPr>
        <w:t>La UPSS de emergencia es un servicio que atiende las 24 horas del día los 365 días del año no solamente a usuarios de la Provincia de Tayacaja, sino también a usuarios de San Pedro de Coris, Chinchihuasi, Churcampa, Paucarbamba, entre otros.</w:t>
      </w:r>
    </w:p>
    <w:p w:rsidR="00093EEC" w:rsidRPr="00CC22BB" w:rsidRDefault="00093EEC" w:rsidP="00093EEC">
      <w:pPr>
        <w:spacing w:line="360" w:lineRule="auto"/>
        <w:jc w:val="both"/>
        <w:rPr>
          <w:rFonts w:ascii="Arial" w:hAnsi="Arial" w:cs="Arial"/>
        </w:rPr>
      </w:pPr>
      <w:r w:rsidRPr="00CC22BB">
        <w:rPr>
          <w:rFonts w:ascii="Arial" w:hAnsi="Arial" w:cs="Arial"/>
          <w:b/>
        </w:rPr>
        <w:t xml:space="preserve">SEGUNDO.- </w:t>
      </w:r>
      <w:r w:rsidRPr="00CC22BB">
        <w:rPr>
          <w:rFonts w:ascii="Arial" w:hAnsi="Arial" w:cs="Arial"/>
        </w:rPr>
        <w:t xml:space="preserve">La DIRECTIVA ADMINISTRATIVA N°355-MINSA/DGAIN-2024 “DIRECTIVA ADMINISTRATIVA PARA LA PROGRAMACIÓN DE TURNOS DE TRABAJO DEL PROFESIONAL DE LA SALUD DE LAS INSTITUCIONES PRESTADORAS DE SERVICIOS DE SALUD DEL MINISTERIO DE SALUD Y DE LOS GOBIERNOS REGIONALES” define </w:t>
      </w:r>
      <w:r w:rsidRPr="00CC22BB">
        <w:rPr>
          <w:rFonts w:ascii="Arial" w:hAnsi="Arial" w:cs="Arial"/>
          <w:b/>
          <w:u w:val="single"/>
        </w:rPr>
        <w:t>Guardia hospitalaria</w:t>
      </w:r>
      <w:r w:rsidRPr="00CC22BB">
        <w:rPr>
          <w:rFonts w:ascii="Arial" w:hAnsi="Arial" w:cs="Arial"/>
        </w:rPr>
        <w:t xml:space="preserve">: Actividad que el personal de salud realiza de manera efectiva por necesidad de servicio o continuidad del servicio a requerimiento de la entidad, atendiendo a los criterios de periodicidad, duración, modalidad y responsabilidad, su duración no excede las 12 horas continuas y se cumple con presencia física y permanencia en el servicio. Se realiza en las IPRESS que cuentan con los servicios de hospitalización o internamiento, cuidados intensivos, </w:t>
      </w:r>
      <w:r w:rsidRPr="00CC22BB">
        <w:rPr>
          <w:rFonts w:ascii="Arial" w:hAnsi="Arial" w:cs="Arial"/>
          <w:b/>
        </w:rPr>
        <w:t>EMERGENCIA</w:t>
      </w:r>
      <w:r w:rsidRPr="00CC22BB">
        <w:rPr>
          <w:rFonts w:ascii="Arial" w:hAnsi="Arial" w:cs="Arial"/>
        </w:rPr>
        <w:t>, centro quirúrgico, centro obstétrico, atención pre hospitalaria y otros según corresponda a lo señalado en el artículo 6 del Reglamento de Guardias Hospitalarias.</w:t>
      </w:r>
    </w:p>
    <w:p w:rsidR="00093EEC" w:rsidRPr="00CC22BB" w:rsidRDefault="00093EEC" w:rsidP="00093EEC">
      <w:pPr>
        <w:spacing w:line="360" w:lineRule="auto"/>
        <w:jc w:val="both"/>
        <w:rPr>
          <w:rFonts w:ascii="Arial" w:hAnsi="Arial" w:cs="Arial"/>
        </w:rPr>
      </w:pPr>
      <w:r w:rsidRPr="00CC22BB">
        <w:rPr>
          <w:rFonts w:ascii="Arial" w:hAnsi="Arial" w:cs="Arial"/>
          <w:b/>
        </w:rPr>
        <w:t xml:space="preserve">TERCERO. - </w:t>
      </w:r>
      <w:r w:rsidRPr="00CC22BB">
        <w:rPr>
          <w:rFonts w:ascii="Arial" w:hAnsi="Arial" w:cs="Arial"/>
        </w:rPr>
        <w:t>En la UPSS de emergencia atendemos cuatro tópicos: TOPICO DE PEDIATRIA, TOPICO DE MEDICINA, TOPICO DE CIRUGIA Y TOPICO DE GINECO-OBSTETRICIA, también cuenta con la UNIDAD DE VIGILANCIA INTENSIVA donde es trata pacientes de Prioridad I.</w:t>
      </w:r>
    </w:p>
    <w:p w:rsidR="00093EEC" w:rsidRDefault="00093EEC" w:rsidP="00093EEC">
      <w:pPr>
        <w:spacing w:line="360" w:lineRule="auto"/>
        <w:jc w:val="both"/>
        <w:rPr>
          <w:rFonts w:ascii="Arial" w:hAnsi="Arial" w:cs="Arial"/>
          <w:b/>
        </w:rPr>
      </w:pPr>
    </w:p>
    <w:p w:rsidR="00093EEC" w:rsidRDefault="00093EEC" w:rsidP="00093EEC">
      <w:pPr>
        <w:spacing w:line="360" w:lineRule="auto"/>
        <w:jc w:val="both"/>
        <w:rPr>
          <w:rFonts w:ascii="Arial" w:hAnsi="Arial" w:cs="Arial"/>
          <w:b/>
        </w:rPr>
      </w:pPr>
    </w:p>
    <w:p w:rsidR="00093EEC" w:rsidRPr="00CC22BB" w:rsidRDefault="00093EEC" w:rsidP="00093EEC">
      <w:pPr>
        <w:spacing w:line="360" w:lineRule="auto"/>
        <w:jc w:val="both"/>
        <w:rPr>
          <w:rFonts w:ascii="Arial" w:hAnsi="Arial" w:cs="Arial"/>
        </w:rPr>
      </w:pPr>
      <w:r w:rsidRPr="00CC22BB">
        <w:rPr>
          <w:rFonts w:ascii="Arial" w:hAnsi="Arial" w:cs="Arial"/>
          <w:b/>
        </w:rPr>
        <w:t xml:space="preserve">CUARTO. - </w:t>
      </w:r>
      <w:r w:rsidRPr="00CC22BB">
        <w:rPr>
          <w:rFonts w:ascii="Arial" w:hAnsi="Arial" w:cs="Arial"/>
        </w:rPr>
        <w:t xml:space="preserve">La UPSS de emergencia atiende </w:t>
      </w:r>
      <w:r w:rsidRPr="00CC22BB">
        <w:rPr>
          <w:rFonts w:ascii="Arial" w:hAnsi="Arial" w:cs="Arial"/>
          <w:b/>
        </w:rPr>
        <w:t>EMERGENCIAS</w:t>
      </w:r>
      <w:r w:rsidRPr="00CC22BB">
        <w:rPr>
          <w:rFonts w:ascii="Arial" w:hAnsi="Arial" w:cs="Arial"/>
        </w:rPr>
        <w:t xml:space="preserve"> (Prioridad I y II) y </w:t>
      </w:r>
      <w:r w:rsidRPr="00CC22BB">
        <w:rPr>
          <w:rFonts w:ascii="Arial" w:hAnsi="Arial" w:cs="Arial"/>
          <w:b/>
        </w:rPr>
        <w:t>URGENCIAS</w:t>
      </w:r>
      <w:r w:rsidRPr="00CC22BB">
        <w:rPr>
          <w:rFonts w:ascii="Arial" w:hAnsi="Arial" w:cs="Arial"/>
        </w:rPr>
        <w:t xml:space="preserve"> (Prioridad III y IV), tal como se aprecia en los siguientes cuadros estadísticos:</w:t>
      </w:r>
    </w:p>
    <w:p w:rsidR="00093EEC" w:rsidRDefault="00093EEC" w:rsidP="00093EEC">
      <w:pPr>
        <w:pStyle w:val="NormalWeb"/>
      </w:pPr>
      <w:r>
        <w:rPr>
          <w:noProof/>
        </w:rPr>
        <w:drawing>
          <wp:inline distT="0" distB="0" distL="0" distR="0" wp14:anchorId="63C5E606" wp14:editId="3A16591C">
            <wp:extent cx="5695315" cy="1029970"/>
            <wp:effectExtent l="0" t="0" r="635" b="0"/>
            <wp:docPr id="7" name="Imagen 7" descr="C:\Users\EMERGENCIAS\Downloads\WhatsApp Image 2025-04-07 at 8.59.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RGENCIAS\Downloads\WhatsApp Image 2025-04-07 at 8.59.19 AM.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6603" cy="1068180"/>
                    </a:xfrm>
                    <a:prstGeom prst="rect">
                      <a:avLst/>
                    </a:prstGeom>
                    <a:noFill/>
                    <a:ln>
                      <a:noFill/>
                    </a:ln>
                  </pic:spPr>
                </pic:pic>
              </a:graphicData>
            </a:graphic>
          </wp:inline>
        </w:drawing>
      </w:r>
    </w:p>
    <w:p w:rsidR="00093EEC" w:rsidRPr="00CC22BB" w:rsidRDefault="00093EEC" w:rsidP="00093EEC">
      <w:pPr>
        <w:spacing w:line="240" w:lineRule="auto"/>
        <w:jc w:val="both"/>
        <w:rPr>
          <w:rFonts w:ascii="Arial" w:hAnsi="Arial" w:cs="Arial"/>
        </w:rPr>
      </w:pPr>
    </w:p>
    <w:p w:rsidR="00093EEC" w:rsidRPr="00CC22BB" w:rsidRDefault="00093EEC" w:rsidP="00093EEC">
      <w:pPr>
        <w:spacing w:line="360" w:lineRule="auto"/>
        <w:jc w:val="both"/>
        <w:rPr>
          <w:rFonts w:ascii="Arial" w:hAnsi="Arial" w:cs="Arial"/>
        </w:rPr>
      </w:pPr>
      <w:r w:rsidRPr="00CC22BB">
        <w:rPr>
          <w:rFonts w:ascii="Arial" w:hAnsi="Arial" w:cs="Arial"/>
          <w:b/>
        </w:rPr>
        <w:t>TABLA 1.-</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tuvo </w:t>
      </w:r>
      <w:r w:rsidRPr="00CC22BB">
        <w:rPr>
          <w:rFonts w:ascii="Arial" w:hAnsi="Arial" w:cs="Arial"/>
          <w:b/>
        </w:rPr>
        <w:t>4431</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2971</w:t>
      </w:r>
      <w:r w:rsidRPr="00CC22BB">
        <w:rPr>
          <w:rFonts w:ascii="Arial" w:hAnsi="Arial" w:cs="Arial"/>
        </w:rPr>
        <w:t xml:space="preserve"> atenciones en Urgencias, un total de </w:t>
      </w:r>
      <w:r w:rsidRPr="00CC22BB">
        <w:rPr>
          <w:rFonts w:ascii="Arial" w:hAnsi="Arial" w:cs="Arial"/>
          <w:b/>
        </w:rPr>
        <w:t>7202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rsidR="00093EEC" w:rsidRPr="0036464E" w:rsidRDefault="00093EEC" w:rsidP="00093EEC">
      <w:pPr>
        <w:spacing w:line="240" w:lineRule="auto"/>
        <w:jc w:val="both"/>
        <w:rPr>
          <w:rFonts w:cstheme="minorHAnsi"/>
        </w:rPr>
      </w:pPr>
    </w:p>
    <w:p w:rsidR="00093EEC" w:rsidRDefault="00093EEC" w:rsidP="00093EEC">
      <w:pPr>
        <w:spacing w:line="240" w:lineRule="auto"/>
        <w:jc w:val="both"/>
        <w:rPr>
          <w:rFonts w:cstheme="minorHAnsi"/>
        </w:rPr>
      </w:pPr>
      <w:r>
        <w:rPr>
          <w:noProof/>
          <w:lang w:val="en-US"/>
        </w:rPr>
        <w:drawing>
          <wp:inline distT="0" distB="0" distL="0" distR="0" wp14:anchorId="0665545A" wp14:editId="7861B79D">
            <wp:extent cx="5612130" cy="987372"/>
            <wp:effectExtent l="0" t="0" r="0" b="3810"/>
            <wp:docPr id="8" name="Imagen 8" descr="C:\Users\EMERGENCIAS\Downloads\WhatsApp Image 2025-04-07 at 9.0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ERGENCIAS\Downloads\WhatsApp Image 2025-04-07 at 9.00.02 A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987372"/>
                    </a:xfrm>
                    <a:prstGeom prst="rect">
                      <a:avLst/>
                    </a:prstGeom>
                    <a:noFill/>
                    <a:ln>
                      <a:noFill/>
                    </a:ln>
                  </pic:spPr>
                </pic:pic>
              </a:graphicData>
            </a:graphic>
          </wp:inline>
        </w:drawing>
      </w:r>
    </w:p>
    <w:p w:rsidR="00093EEC" w:rsidRDefault="00093EEC" w:rsidP="00093EEC">
      <w:pPr>
        <w:pStyle w:val="NormalWeb"/>
      </w:pPr>
    </w:p>
    <w:p w:rsidR="00093EEC" w:rsidRPr="00CC22BB" w:rsidRDefault="00093EEC" w:rsidP="00093EEC">
      <w:pPr>
        <w:spacing w:line="360" w:lineRule="auto"/>
        <w:jc w:val="both"/>
        <w:rPr>
          <w:rFonts w:ascii="Arial" w:hAnsi="Arial" w:cs="Arial"/>
        </w:rPr>
      </w:pPr>
      <w:r w:rsidRPr="00CC22BB">
        <w:rPr>
          <w:rFonts w:ascii="Arial" w:hAnsi="Arial" w:cs="Arial"/>
          <w:b/>
        </w:rPr>
        <w:t>TABLA 2.-</w:t>
      </w:r>
      <w:r w:rsidRPr="00CC22BB">
        <w:rPr>
          <w:rFonts w:ascii="Arial" w:hAnsi="Arial" w:cs="Arial"/>
        </w:rPr>
        <w:t xml:space="preserve"> En el </w:t>
      </w:r>
      <w:r w:rsidRPr="00CC22BB">
        <w:rPr>
          <w:rFonts w:ascii="Arial" w:hAnsi="Arial" w:cs="Arial"/>
          <w:b/>
        </w:rPr>
        <w:t>2023</w:t>
      </w:r>
      <w:r w:rsidRPr="00CC22BB">
        <w:rPr>
          <w:rFonts w:ascii="Arial" w:hAnsi="Arial" w:cs="Arial"/>
        </w:rPr>
        <w:t xml:space="preserve"> se tuvo </w:t>
      </w:r>
      <w:r w:rsidRPr="00CC22BB">
        <w:rPr>
          <w:rFonts w:ascii="Arial" w:hAnsi="Arial" w:cs="Arial"/>
          <w:b/>
        </w:rPr>
        <w:t>3453</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3799</w:t>
      </w:r>
      <w:r w:rsidRPr="00CC22BB">
        <w:rPr>
          <w:rFonts w:ascii="Arial" w:hAnsi="Arial" w:cs="Arial"/>
        </w:rPr>
        <w:t xml:space="preserve"> atenciones en Urgencias, un total de </w:t>
      </w:r>
      <w:r w:rsidRPr="00CC22BB">
        <w:rPr>
          <w:rFonts w:ascii="Arial" w:hAnsi="Arial" w:cs="Arial"/>
          <w:b/>
        </w:rPr>
        <w:t>7252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rsidR="00093EEC" w:rsidRDefault="00093EEC" w:rsidP="00093EEC">
      <w:pPr>
        <w:pStyle w:val="NormalWeb"/>
      </w:pPr>
      <w:r>
        <w:rPr>
          <w:noProof/>
        </w:rPr>
        <w:drawing>
          <wp:inline distT="0" distB="0" distL="0" distR="0" wp14:anchorId="57CE07B5" wp14:editId="160A8665">
            <wp:extent cx="5612130" cy="986790"/>
            <wp:effectExtent l="0" t="0" r="7620" b="3810"/>
            <wp:docPr id="9" name="Imagen 9" descr="C:\Users\EMERGENCIAS\Downloads\WhatsApp Image 2025-04-07 at 9.00.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RGENCIAS\Downloads\WhatsApp Image 2025-04-07 at 9.00.41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986790"/>
                    </a:xfrm>
                    <a:prstGeom prst="rect">
                      <a:avLst/>
                    </a:prstGeom>
                    <a:noFill/>
                    <a:ln>
                      <a:noFill/>
                    </a:ln>
                  </pic:spPr>
                </pic:pic>
              </a:graphicData>
            </a:graphic>
          </wp:inline>
        </w:drawing>
      </w:r>
    </w:p>
    <w:p w:rsidR="00093EEC" w:rsidRDefault="00093EEC" w:rsidP="00093EEC">
      <w:pPr>
        <w:spacing w:line="360" w:lineRule="auto"/>
        <w:jc w:val="both"/>
        <w:rPr>
          <w:rFonts w:ascii="Arial" w:hAnsi="Arial" w:cs="Arial"/>
        </w:rPr>
      </w:pPr>
      <w:r w:rsidRPr="00CC22BB">
        <w:rPr>
          <w:rFonts w:ascii="Arial" w:hAnsi="Arial" w:cs="Arial"/>
          <w:b/>
        </w:rPr>
        <w:t>TABLA 3.-</w:t>
      </w:r>
      <w:r w:rsidRPr="00CC22BB">
        <w:rPr>
          <w:rFonts w:ascii="Arial" w:hAnsi="Arial" w:cs="Arial"/>
        </w:rPr>
        <w:t xml:space="preserve"> En el </w:t>
      </w:r>
      <w:r w:rsidRPr="00CC22BB">
        <w:rPr>
          <w:rFonts w:ascii="Arial" w:hAnsi="Arial" w:cs="Arial"/>
          <w:b/>
        </w:rPr>
        <w:t>2024</w:t>
      </w:r>
      <w:r w:rsidRPr="00CC22BB">
        <w:rPr>
          <w:rFonts w:ascii="Arial" w:hAnsi="Arial" w:cs="Arial"/>
        </w:rPr>
        <w:t xml:space="preserve"> se tuvo </w:t>
      </w:r>
      <w:r w:rsidRPr="00CC22BB">
        <w:rPr>
          <w:rFonts w:ascii="Arial" w:hAnsi="Arial" w:cs="Arial"/>
          <w:b/>
        </w:rPr>
        <w:t>3294</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4604</w:t>
      </w:r>
      <w:r w:rsidRPr="00CC22BB">
        <w:rPr>
          <w:rFonts w:ascii="Arial" w:hAnsi="Arial" w:cs="Arial"/>
        </w:rPr>
        <w:t xml:space="preserve"> atenciones en Urgencias, un total de </w:t>
      </w:r>
      <w:r w:rsidRPr="00CC22BB">
        <w:rPr>
          <w:rFonts w:ascii="Arial" w:hAnsi="Arial" w:cs="Arial"/>
          <w:b/>
        </w:rPr>
        <w:t>7898</w:t>
      </w:r>
      <w:r w:rsidRPr="00CC22BB">
        <w:rPr>
          <w:rFonts w:ascii="Arial" w:hAnsi="Arial" w:cs="Arial"/>
        </w:rPr>
        <w:t xml:space="preserve"> atenciones médicas con un promedio de atención de </w:t>
      </w:r>
      <w:r w:rsidRPr="00CC22BB">
        <w:rPr>
          <w:rFonts w:ascii="Arial" w:hAnsi="Arial" w:cs="Arial"/>
          <w:b/>
        </w:rPr>
        <w:t>21 pacientes por día</w:t>
      </w:r>
      <w:r w:rsidRPr="00CC22BB">
        <w:rPr>
          <w:rFonts w:ascii="Arial" w:hAnsi="Arial" w:cs="Arial"/>
        </w:rPr>
        <w:t xml:space="preserve"> en los 4 tópicos y UVI. </w:t>
      </w:r>
    </w:p>
    <w:p w:rsidR="00093EEC" w:rsidRDefault="00093EEC" w:rsidP="00093EEC">
      <w:pPr>
        <w:spacing w:line="360" w:lineRule="auto"/>
        <w:jc w:val="both"/>
        <w:rPr>
          <w:rFonts w:ascii="Arial" w:hAnsi="Arial" w:cs="Arial"/>
        </w:rPr>
      </w:pPr>
    </w:p>
    <w:p w:rsidR="00093EEC" w:rsidRDefault="00093EEC" w:rsidP="00093EEC">
      <w:pPr>
        <w:spacing w:line="360" w:lineRule="auto"/>
        <w:jc w:val="both"/>
        <w:rPr>
          <w:rFonts w:ascii="Arial" w:hAnsi="Arial" w:cs="Arial"/>
        </w:rPr>
      </w:pPr>
    </w:p>
    <w:p w:rsidR="00093EEC" w:rsidRDefault="00093EEC" w:rsidP="00093EEC">
      <w:pPr>
        <w:spacing w:line="360" w:lineRule="auto"/>
        <w:jc w:val="both"/>
        <w:rPr>
          <w:rFonts w:ascii="Arial" w:hAnsi="Arial" w:cs="Arial"/>
        </w:rPr>
      </w:pPr>
      <w:r w:rsidRPr="008C5E74">
        <w:rPr>
          <w:noProof/>
          <w:lang w:val="en-US"/>
        </w:rPr>
        <w:drawing>
          <wp:inline distT="0" distB="0" distL="0" distR="0" wp14:anchorId="2CD289CA" wp14:editId="23FCCD98">
            <wp:extent cx="5612130" cy="9560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956049"/>
                    </a:xfrm>
                    <a:prstGeom prst="rect">
                      <a:avLst/>
                    </a:prstGeom>
                    <a:noFill/>
                    <a:ln>
                      <a:noFill/>
                    </a:ln>
                  </pic:spPr>
                </pic:pic>
              </a:graphicData>
            </a:graphic>
          </wp:inline>
        </w:drawing>
      </w:r>
    </w:p>
    <w:p w:rsidR="00093EEC" w:rsidRPr="00CC22BB" w:rsidRDefault="00093EEC" w:rsidP="00093EEC">
      <w:pPr>
        <w:spacing w:line="360" w:lineRule="auto"/>
        <w:jc w:val="both"/>
        <w:rPr>
          <w:rFonts w:ascii="Arial" w:hAnsi="Arial" w:cs="Arial"/>
        </w:rPr>
      </w:pPr>
      <w:r>
        <w:rPr>
          <w:rFonts w:ascii="Arial" w:hAnsi="Arial" w:cs="Arial"/>
        </w:rPr>
        <w:t xml:space="preserve">Tabla 4.- en el 2025 de enero a diciembre se tuvo </w:t>
      </w:r>
      <w:r w:rsidRPr="008C5E74">
        <w:rPr>
          <w:rFonts w:ascii="Arial" w:hAnsi="Arial" w:cs="Arial"/>
          <w:b/>
        </w:rPr>
        <w:t>2940 atenciones médicas en emergencia</w:t>
      </w:r>
      <w:r>
        <w:rPr>
          <w:rFonts w:ascii="Arial" w:hAnsi="Arial" w:cs="Arial"/>
        </w:rPr>
        <w:t xml:space="preserve"> y </w:t>
      </w:r>
      <w:r>
        <w:rPr>
          <w:rFonts w:ascii="Arial" w:hAnsi="Arial" w:cs="Arial"/>
          <w:b/>
        </w:rPr>
        <w:t>4532</w:t>
      </w:r>
      <w:r>
        <w:rPr>
          <w:rFonts w:ascii="Arial" w:hAnsi="Arial" w:cs="Arial"/>
        </w:rPr>
        <w:t xml:space="preserve"> </w:t>
      </w:r>
      <w:r w:rsidRPr="008C5E74">
        <w:rPr>
          <w:rFonts w:ascii="Arial" w:hAnsi="Arial" w:cs="Arial"/>
          <w:b/>
        </w:rPr>
        <w:t>atenciones en urgencias</w:t>
      </w:r>
      <w:r>
        <w:rPr>
          <w:rFonts w:ascii="Arial" w:hAnsi="Arial" w:cs="Arial"/>
        </w:rPr>
        <w:t xml:space="preserve">, con un total de </w:t>
      </w:r>
      <w:r w:rsidRPr="008C5E74">
        <w:rPr>
          <w:rFonts w:ascii="Arial" w:hAnsi="Arial" w:cs="Arial"/>
          <w:b/>
        </w:rPr>
        <w:t>7468</w:t>
      </w:r>
      <w:r>
        <w:rPr>
          <w:rFonts w:ascii="Arial" w:hAnsi="Arial" w:cs="Arial"/>
        </w:rPr>
        <w:t xml:space="preserve"> atenciones médicas con un promedio de atención de 21 pacientes por día en los diferentes tópicos de emergencia.</w:t>
      </w:r>
    </w:p>
    <w:p w:rsidR="00093EEC" w:rsidRPr="00CC22BB" w:rsidRDefault="00093EEC" w:rsidP="00093EEC">
      <w:pPr>
        <w:spacing w:line="360" w:lineRule="auto"/>
        <w:jc w:val="both"/>
        <w:rPr>
          <w:rFonts w:ascii="Arial" w:hAnsi="Arial" w:cs="Arial"/>
        </w:rPr>
      </w:pPr>
      <w:r w:rsidRPr="00CC22BB">
        <w:rPr>
          <w:rFonts w:ascii="Arial" w:hAnsi="Arial" w:cs="Arial"/>
          <w:b/>
        </w:rPr>
        <w:t xml:space="preserve">QUINTO. - </w:t>
      </w:r>
      <w:r w:rsidRPr="00CC22BB">
        <w:rPr>
          <w:rFonts w:ascii="Arial" w:hAnsi="Arial" w:cs="Arial"/>
        </w:rPr>
        <w:t xml:space="preserve">En la UPSS de Emergencia se atiende y prepara a pacientes con </w:t>
      </w:r>
      <w:r w:rsidRPr="00CC22BB">
        <w:rPr>
          <w:rFonts w:ascii="Arial" w:hAnsi="Arial" w:cs="Arial"/>
          <w:b/>
        </w:rPr>
        <w:t>EMERGENCIA QUIRÚRGICA</w:t>
      </w:r>
      <w:r w:rsidRPr="00CC22BB">
        <w:rPr>
          <w:rFonts w:ascii="Arial" w:hAnsi="Arial" w:cs="Arial"/>
        </w:rPr>
        <w:t xml:space="preserve"> que ingresarán a Sala de Operaciones y pacientes que serán </w:t>
      </w:r>
      <w:r w:rsidRPr="00CC22BB">
        <w:rPr>
          <w:rFonts w:ascii="Arial" w:hAnsi="Arial" w:cs="Arial"/>
          <w:b/>
        </w:rPr>
        <w:t>REFERIDOS</w:t>
      </w:r>
      <w:r w:rsidRPr="00CC22BB">
        <w:rPr>
          <w:rFonts w:ascii="Arial" w:hAnsi="Arial" w:cs="Arial"/>
        </w:rPr>
        <w:t xml:space="preserve"> a Establecimientos de Mayor Complejidad.</w:t>
      </w:r>
    </w:p>
    <w:tbl>
      <w:tblPr>
        <w:tblStyle w:val="Tablaconcuadrcula"/>
        <w:tblW w:w="0" w:type="auto"/>
        <w:tblLook w:val="04A0" w:firstRow="1" w:lastRow="0" w:firstColumn="1" w:lastColumn="0" w:noHBand="0" w:noVBand="1"/>
      </w:tblPr>
      <w:tblGrid>
        <w:gridCol w:w="2687"/>
        <w:gridCol w:w="1566"/>
        <w:gridCol w:w="1567"/>
        <w:gridCol w:w="1567"/>
        <w:gridCol w:w="1441"/>
      </w:tblGrid>
      <w:tr w:rsidR="00093EEC" w:rsidTr="005040CE">
        <w:tc>
          <w:tcPr>
            <w:tcW w:w="2687" w:type="dxa"/>
            <w:shd w:val="clear" w:color="auto" w:fill="D9D9D9" w:themeFill="background1" w:themeFillShade="D9"/>
          </w:tcPr>
          <w:p w:rsidR="00093EEC" w:rsidRDefault="00093EEC" w:rsidP="005040CE">
            <w:pPr>
              <w:jc w:val="both"/>
              <w:rPr>
                <w:rFonts w:cstheme="minorHAnsi"/>
              </w:rPr>
            </w:pPr>
          </w:p>
        </w:tc>
        <w:tc>
          <w:tcPr>
            <w:tcW w:w="1566" w:type="dxa"/>
            <w:shd w:val="clear" w:color="auto" w:fill="D9D9D9" w:themeFill="background1" w:themeFillShade="D9"/>
            <w:vAlign w:val="center"/>
          </w:tcPr>
          <w:p w:rsidR="00093EEC" w:rsidRDefault="00093EEC" w:rsidP="005040CE">
            <w:pPr>
              <w:jc w:val="center"/>
              <w:rPr>
                <w:rFonts w:cstheme="minorHAnsi"/>
              </w:rPr>
            </w:pPr>
            <w:r>
              <w:rPr>
                <w:rFonts w:cstheme="minorHAnsi"/>
              </w:rPr>
              <w:t>2022</w:t>
            </w:r>
          </w:p>
        </w:tc>
        <w:tc>
          <w:tcPr>
            <w:tcW w:w="1567" w:type="dxa"/>
            <w:shd w:val="clear" w:color="auto" w:fill="D9D9D9" w:themeFill="background1" w:themeFillShade="D9"/>
            <w:vAlign w:val="center"/>
          </w:tcPr>
          <w:p w:rsidR="00093EEC" w:rsidRDefault="00093EEC" w:rsidP="005040CE">
            <w:pPr>
              <w:jc w:val="center"/>
              <w:rPr>
                <w:rFonts w:cstheme="minorHAnsi"/>
              </w:rPr>
            </w:pPr>
            <w:r>
              <w:rPr>
                <w:rFonts w:cstheme="minorHAnsi"/>
              </w:rPr>
              <w:t>2023</w:t>
            </w:r>
          </w:p>
        </w:tc>
        <w:tc>
          <w:tcPr>
            <w:tcW w:w="1567" w:type="dxa"/>
            <w:shd w:val="clear" w:color="auto" w:fill="D9D9D9" w:themeFill="background1" w:themeFillShade="D9"/>
            <w:vAlign w:val="center"/>
          </w:tcPr>
          <w:p w:rsidR="00093EEC" w:rsidRDefault="00093EEC" w:rsidP="005040CE">
            <w:pPr>
              <w:jc w:val="center"/>
              <w:rPr>
                <w:rFonts w:cstheme="minorHAnsi"/>
              </w:rPr>
            </w:pPr>
            <w:r>
              <w:rPr>
                <w:rFonts w:cstheme="minorHAnsi"/>
              </w:rPr>
              <w:t>2024</w:t>
            </w:r>
          </w:p>
        </w:tc>
        <w:tc>
          <w:tcPr>
            <w:tcW w:w="1441" w:type="dxa"/>
            <w:shd w:val="clear" w:color="auto" w:fill="D9D9D9" w:themeFill="background1" w:themeFillShade="D9"/>
          </w:tcPr>
          <w:p w:rsidR="00093EEC" w:rsidRDefault="00093EEC" w:rsidP="005040CE">
            <w:pPr>
              <w:jc w:val="center"/>
              <w:rPr>
                <w:rFonts w:cstheme="minorHAnsi"/>
              </w:rPr>
            </w:pPr>
            <w:r>
              <w:rPr>
                <w:rFonts w:cstheme="minorHAnsi"/>
              </w:rPr>
              <w:t>2025</w:t>
            </w:r>
          </w:p>
        </w:tc>
      </w:tr>
      <w:tr w:rsidR="00093EEC" w:rsidTr="005040CE">
        <w:tc>
          <w:tcPr>
            <w:tcW w:w="2687" w:type="dxa"/>
            <w:vAlign w:val="center"/>
          </w:tcPr>
          <w:p w:rsidR="00093EEC" w:rsidRDefault="00093EEC" w:rsidP="005040CE">
            <w:pPr>
              <w:jc w:val="center"/>
              <w:rPr>
                <w:rFonts w:cstheme="minorHAnsi"/>
              </w:rPr>
            </w:pPr>
            <w:r>
              <w:rPr>
                <w:rFonts w:cstheme="minorHAnsi"/>
              </w:rPr>
              <w:t>INTERVENCIONES QUIRURGICAS POR EMERGENCIA</w:t>
            </w:r>
          </w:p>
        </w:tc>
        <w:tc>
          <w:tcPr>
            <w:tcW w:w="1566" w:type="dxa"/>
            <w:vAlign w:val="center"/>
          </w:tcPr>
          <w:p w:rsidR="00093EEC" w:rsidRDefault="00093EEC" w:rsidP="005040CE">
            <w:pPr>
              <w:jc w:val="center"/>
              <w:rPr>
                <w:rFonts w:cstheme="minorHAnsi"/>
              </w:rPr>
            </w:pPr>
            <w:r>
              <w:rPr>
                <w:rFonts w:cstheme="minorHAnsi"/>
              </w:rPr>
              <w:t>562</w:t>
            </w:r>
          </w:p>
        </w:tc>
        <w:tc>
          <w:tcPr>
            <w:tcW w:w="1567" w:type="dxa"/>
            <w:vAlign w:val="center"/>
          </w:tcPr>
          <w:p w:rsidR="00093EEC" w:rsidRDefault="00093EEC" w:rsidP="005040CE">
            <w:pPr>
              <w:jc w:val="center"/>
              <w:rPr>
                <w:rFonts w:cstheme="minorHAnsi"/>
              </w:rPr>
            </w:pPr>
            <w:r>
              <w:rPr>
                <w:rFonts w:cstheme="minorHAnsi"/>
              </w:rPr>
              <w:t>468</w:t>
            </w:r>
          </w:p>
        </w:tc>
        <w:tc>
          <w:tcPr>
            <w:tcW w:w="1567" w:type="dxa"/>
            <w:vAlign w:val="center"/>
          </w:tcPr>
          <w:p w:rsidR="00093EEC" w:rsidRDefault="00093EEC" w:rsidP="005040CE">
            <w:pPr>
              <w:jc w:val="center"/>
              <w:rPr>
                <w:rFonts w:cstheme="minorHAnsi"/>
              </w:rPr>
            </w:pPr>
            <w:r>
              <w:rPr>
                <w:rFonts w:cstheme="minorHAnsi"/>
              </w:rPr>
              <w:t>539</w:t>
            </w:r>
          </w:p>
        </w:tc>
        <w:tc>
          <w:tcPr>
            <w:tcW w:w="1441" w:type="dxa"/>
          </w:tcPr>
          <w:p w:rsidR="00093EEC" w:rsidRDefault="00093EEC" w:rsidP="005040CE">
            <w:pPr>
              <w:jc w:val="center"/>
              <w:rPr>
                <w:rFonts w:cstheme="minorHAnsi"/>
              </w:rPr>
            </w:pPr>
          </w:p>
          <w:p w:rsidR="00093EEC" w:rsidRDefault="00093EEC" w:rsidP="005040CE">
            <w:pPr>
              <w:jc w:val="center"/>
              <w:rPr>
                <w:rFonts w:cstheme="minorHAnsi"/>
              </w:rPr>
            </w:pPr>
            <w:r>
              <w:rPr>
                <w:rFonts w:cstheme="minorHAnsi"/>
              </w:rPr>
              <w:t>844</w:t>
            </w:r>
          </w:p>
          <w:p w:rsidR="00093EEC" w:rsidRDefault="00093EEC" w:rsidP="005040CE">
            <w:pPr>
              <w:jc w:val="center"/>
              <w:rPr>
                <w:rFonts w:cstheme="minorHAnsi"/>
              </w:rPr>
            </w:pPr>
          </w:p>
        </w:tc>
      </w:tr>
      <w:tr w:rsidR="00093EEC" w:rsidTr="005040CE">
        <w:tc>
          <w:tcPr>
            <w:tcW w:w="2687" w:type="dxa"/>
            <w:shd w:val="clear" w:color="auto" w:fill="D9D9D9" w:themeFill="background1" w:themeFillShade="D9"/>
            <w:vAlign w:val="center"/>
          </w:tcPr>
          <w:p w:rsidR="00093EEC" w:rsidRDefault="00093EEC" w:rsidP="005040CE">
            <w:pPr>
              <w:jc w:val="center"/>
              <w:rPr>
                <w:rFonts w:cstheme="minorHAnsi"/>
              </w:rPr>
            </w:pPr>
            <w:r>
              <w:rPr>
                <w:rFonts w:cstheme="minorHAnsi"/>
              </w:rPr>
              <w:t>REFERENCIAS A HOSPITAL DE MAYOR COMPLEJIDAD</w:t>
            </w:r>
          </w:p>
        </w:tc>
        <w:tc>
          <w:tcPr>
            <w:tcW w:w="1566" w:type="dxa"/>
            <w:shd w:val="clear" w:color="auto" w:fill="D9D9D9" w:themeFill="background1" w:themeFillShade="D9"/>
            <w:vAlign w:val="center"/>
          </w:tcPr>
          <w:p w:rsidR="00093EEC" w:rsidRDefault="00093EEC" w:rsidP="005040CE">
            <w:pPr>
              <w:jc w:val="center"/>
              <w:rPr>
                <w:rFonts w:cstheme="minorHAnsi"/>
              </w:rPr>
            </w:pPr>
            <w:r>
              <w:rPr>
                <w:rFonts w:cstheme="minorHAnsi"/>
              </w:rPr>
              <w:t>158</w:t>
            </w:r>
          </w:p>
        </w:tc>
        <w:tc>
          <w:tcPr>
            <w:tcW w:w="1567" w:type="dxa"/>
            <w:shd w:val="clear" w:color="auto" w:fill="D9D9D9" w:themeFill="background1" w:themeFillShade="D9"/>
            <w:vAlign w:val="center"/>
          </w:tcPr>
          <w:p w:rsidR="00093EEC" w:rsidRDefault="00093EEC" w:rsidP="005040CE">
            <w:pPr>
              <w:jc w:val="center"/>
              <w:rPr>
                <w:rFonts w:cstheme="minorHAnsi"/>
              </w:rPr>
            </w:pPr>
            <w:r>
              <w:rPr>
                <w:rFonts w:cstheme="minorHAnsi"/>
              </w:rPr>
              <w:t>148</w:t>
            </w:r>
          </w:p>
        </w:tc>
        <w:tc>
          <w:tcPr>
            <w:tcW w:w="1567" w:type="dxa"/>
            <w:shd w:val="clear" w:color="auto" w:fill="D9D9D9" w:themeFill="background1" w:themeFillShade="D9"/>
            <w:vAlign w:val="center"/>
          </w:tcPr>
          <w:p w:rsidR="00093EEC" w:rsidRDefault="00093EEC" w:rsidP="005040CE">
            <w:pPr>
              <w:jc w:val="center"/>
              <w:rPr>
                <w:rFonts w:cstheme="minorHAnsi"/>
              </w:rPr>
            </w:pPr>
            <w:r>
              <w:rPr>
                <w:rFonts w:cstheme="minorHAnsi"/>
              </w:rPr>
              <w:t>151</w:t>
            </w:r>
          </w:p>
        </w:tc>
        <w:tc>
          <w:tcPr>
            <w:tcW w:w="1441" w:type="dxa"/>
            <w:shd w:val="clear" w:color="auto" w:fill="D9D9D9" w:themeFill="background1" w:themeFillShade="D9"/>
          </w:tcPr>
          <w:p w:rsidR="00093EEC" w:rsidRDefault="00093EEC" w:rsidP="005040CE">
            <w:pPr>
              <w:jc w:val="center"/>
              <w:rPr>
                <w:rFonts w:cstheme="minorHAnsi"/>
              </w:rPr>
            </w:pPr>
            <w:r>
              <w:rPr>
                <w:rFonts w:cstheme="minorHAnsi"/>
              </w:rPr>
              <w:t>154</w:t>
            </w:r>
          </w:p>
        </w:tc>
      </w:tr>
    </w:tbl>
    <w:p w:rsidR="00093EEC" w:rsidRDefault="00093EEC" w:rsidP="00093EEC">
      <w:pPr>
        <w:spacing w:line="240" w:lineRule="auto"/>
        <w:jc w:val="both"/>
        <w:rPr>
          <w:rFonts w:cstheme="minorHAnsi"/>
        </w:rPr>
      </w:pPr>
    </w:p>
    <w:p w:rsidR="00093EEC" w:rsidRPr="00CC22BB" w:rsidRDefault="00093EEC" w:rsidP="00093EEC">
      <w:pPr>
        <w:spacing w:line="360" w:lineRule="auto"/>
        <w:jc w:val="both"/>
        <w:rPr>
          <w:rFonts w:ascii="Arial" w:hAnsi="Arial" w:cs="Arial"/>
        </w:rPr>
      </w:pPr>
      <w:r w:rsidRPr="00CC22BB">
        <w:rPr>
          <w:rFonts w:ascii="Arial" w:hAnsi="Arial" w:cs="Arial"/>
          <w:b/>
        </w:rPr>
        <w:t>TABLA 4.-</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preparó un total de </w:t>
      </w:r>
      <w:r w:rsidRPr="00CC22BB">
        <w:rPr>
          <w:rFonts w:ascii="Arial" w:hAnsi="Arial" w:cs="Arial"/>
          <w:b/>
        </w:rPr>
        <w:t>562</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158</w:t>
      </w:r>
      <w:r w:rsidRPr="00CC22BB">
        <w:rPr>
          <w:rFonts w:ascii="Arial" w:hAnsi="Arial" w:cs="Arial"/>
        </w:rPr>
        <w:t xml:space="preserve"> pacientes a Hospitales de Mayor Complejidad de Huancayo, Huancavelica, Ayacucho y Lima. En el </w:t>
      </w:r>
      <w:r w:rsidRPr="00CC22BB">
        <w:rPr>
          <w:rFonts w:ascii="Arial" w:hAnsi="Arial" w:cs="Arial"/>
          <w:b/>
        </w:rPr>
        <w:t>2023</w:t>
      </w:r>
      <w:r w:rsidRPr="00CC22BB">
        <w:rPr>
          <w:rFonts w:ascii="Arial" w:hAnsi="Arial" w:cs="Arial"/>
        </w:rPr>
        <w:t xml:space="preserve"> se preparó un total de </w:t>
      </w:r>
      <w:r w:rsidRPr="00CC22BB">
        <w:rPr>
          <w:rFonts w:ascii="Arial" w:hAnsi="Arial" w:cs="Arial"/>
          <w:b/>
        </w:rPr>
        <w:t>468</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148</w:t>
      </w:r>
      <w:r w:rsidRPr="00CC22BB">
        <w:rPr>
          <w:rFonts w:ascii="Arial" w:hAnsi="Arial" w:cs="Arial"/>
        </w:rPr>
        <w:t xml:space="preserve"> pacientes a Hospitales de Mayor Complejidad de Huancayo, Huancavelica, Ayacucho y Lima. En el </w:t>
      </w:r>
      <w:r w:rsidRPr="00CC22BB">
        <w:rPr>
          <w:rFonts w:ascii="Arial" w:hAnsi="Arial" w:cs="Arial"/>
          <w:b/>
        </w:rPr>
        <w:t>2024</w:t>
      </w:r>
      <w:r w:rsidRPr="00CC22BB">
        <w:rPr>
          <w:rFonts w:ascii="Arial" w:hAnsi="Arial" w:cs="Arial"/>
        </w:rPr>
        <w:t xml:space="preserve"> se preparó un total de </w:t>
      </w:r>
      <w:r w:rsidRPr="00CC22BB">
        <w:rPr>
          <w:rFonts w:ascii="Arial" w:hAnsi="Arial" w:cs="Arial"/>
          <w:b/>
        </w:rPr>
        <w:t>539</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refirió a </w:t>
      </w:r>
      <w:r w:rsidRPr="00CC22BB">
        <w:rPr>
          <w:rFonts w:ascii="Arial" w:hAnsi="Arial" w:cs="Arial"/>
          <w:b/>
        </w:rPr>
        <w:t>151</w:t>
      </w:r>
      <w:r w:rsidRPr="00CC22BB">
        <w:rPr>
          <w:rFonts w:ascii="Arial" w:hAnsi="Arial" w:cs="Arial"/>
        </w:rPr>
        <w:t xml:space="preserve"> pacientes a Hospitales de Mayor Complejidad de Huancayo, Huancavelica, Ayacucho y Lima.</w:t>
      </w:r>
      <w:r>
        <w:rPr>
          <w:rFonts w:ascii="Arial" w:hAnsi="Arial" w:cs="Arial"/>
        </w:rPr>
        <w:t xml:space="preserve"> En el </w:t>
      </w:r>
      <w:r w:rsidRPr="00A15326">
        <w:rPr>
          <w:rFonts w:ascii="Arial" w:hAnsi="Arial" w:cs="Arial"/>
          <w:b/>
        </w:rPr>
        <w:t>2025</w:t>
      </w:r>
      <w:r>
        <w:rPr>
          <w:rFonts w:ascii="Arial" w:hAnsi="Arial" w:cs="Arial"/>
        </w:rPr>
        <w:t xml:space="preserve"> de enero a noviembre se preparó a </w:t>
      </w:r>
      <w:r w:rsidRPr="00A15326">
        <w:rPr>
          <w:rFonts w:ascii="Arial" w:hAnsi="Arial" w:cs="Arial"/>
          <w:b/>
        </w:rPr>
        <w:t>844 pacientes</w:t>
      </w:r>
      <w:r>
        <w:rPr>
          <w:rFonts w:ascii="Arial" w:hAnsi="Arial" w:cs="Arial"/>
        </w:rPr>
        <w:t xml:space="preserve"> para sala de operaciones, y son </w:t>
      </w:r>
      <w:r w:rsidRPr="00171299">
        <w:rPr>
          <w:rFonts w:ascii="Arial" w:hAnsi="Arial" w:cs="Arial"/>
          <w:b/>
        </w:rPr>
        <w:t>154</w:t>
      </w:r>
      <w:r>
        <w:rPr>
          <w:rFonts w:ascii="Arial" w:hAnsi="Arial" w:cs="Arial"/>
        </w:rPr>
        <w:t xml:space="preserve"> pacientes referidos a </w:t>
      </w:r>
      <w:r w:rsidRPr="00CC22BB">
        <w:rPr>
          <w:rFonts w:ascii="Arial" w:hAnsi="Arial" w:cs="Arial"/>
        </w:rPr>
        <w:t>Hospitales de Mayor Complejidad de Huancayo, Huancavelica, Ayacucho y Lima.</w:t>
      </w:r>
      <w:r>
        <w:rPr>
          <w:rFonts w:ascii="Arial" w:hAnsi="Arial" w:cs="Arial"/>
        </w:rPr>
        <w:t xml:space="preserve"> Fuente estadística.</w:t>
      </w:r>
    </w:p>
    <w:p w:rsidR="00093EEC" w:rsidRPr="00CC22BB" w:rsidRDefault="00093EEC" w:rsidP="00093EEC">
      <w:pPr>
        <w:autoSpaceDE w:val="0"/>
        <w:autoSpaceDN w:val="0"/>
        <w:adjustRightInd w:val="0"/>
        <w:spacing w:after="200" w:line="360" w:lineRule="auto"/>
        <w:jc w:val="both"/>
        <w:rPr>
          <w:rFonts w:ascii="Arial" w:hAnsi="Arial" w:cs="Arial"/>
          <w:iCs/>
        </w:rPr>
      </w:pPr>
      <w:r w:rsidRPr="00CC22BB">
        <w:rPr>
          <w:rFonts w:ascii="Arial" w:hAnsi="Arial" w:cs="Arial"/>
          <w:b/>
          <w:iCs/>
        </w:rPr>
        <w:t xml:space="preserve">CUARTO. - </w:t>
      </w:r>
      <w:r w:rsidRPr="00CC22BB">
        <w:rPr>
          <w:rFonts w:ascii="Arial" w:hAnsi="Arial" w:cs="Arial"/>
          <w:iCs/>
        </w:rPr>
        <w:t xml:space="preserve">Por lo expuesto, solicito se realice el pago de las </w:t>
      </w:r>
      <w:r w:rsidRPr="00CC22BB">
        <w:rPr>
          <w:rFonts w:ascii="Arial" w:hAnsi="Arial" w:cs="Arial"/>
          <w:b/>
          <w:iCs/>
        </w:rPr>
        <w:t>GUARDIAS HOSPITALARIAS</w:t>
      </w:r>
      <w:r w:rsidRPr="00CC22BB">
        <w:rPr>
          <w:rFonts w:ascii="Arial" w:hAnsi="Arial" w:cs="Arial"/>
          <w:iCs/>
        </w:rPr>
        <w:t xml:space="preserve"> que se viene haciendo al personal que labora en la UPSSS de Emergencia (TOPICO DE PEDIATRIA, TOPICO DE MEDICINA, TOPICO DE CIRUGIA, TOPICO DE GINECO-OBSTETRICIA, UNIDAD DE VIGILANCIA INTENSA).</w:t>
      </w:r>
    </w:p>
    <w:p w:rsidR="00093EEC" w:rsidRDefault="00093EEC" w:rsidP="00093EEC">
      <w:pPr>
        <w:widowControl w:val="0"/>
        <w:autoSpaceDE w:val="0"/>
        <w:autoSpaceDN w:val="0"/>
        <w:adjustRightInd w:val="0"/>
        <w:spacing w:line="360" w:lineRule="auto"/>
        <w:jc w:val="both"/>
        <w:rPr>
          <w:rFonts w:ascii="Arial" w:eastAsia="Calibri" w:hAnsi="Arial" w:cs="Arial"/>
          <w:b/>
          <w:bCs/>
          <w:lang w:val="es-PE"/>
        </w:rPr>
      </w:pPr>
    </w:p>
    <w:p w:rsidR="00093EEC" w:rsidRPr="00423219" w:rsidRDefault="00093EEC" w:rsidP="00093EEC">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PETITORIO Y BASE LEGAL</w:t>
      </w:r>
      <w:r w:rsidRPr="00423219">
        <w:rPr>
          <w:rFonts w:ascii="Arial" w:eastAsia="Calibri" w:hAnsi="Arial" w:cs="Arial"/>
          <w:lang w:val="es-PE"/>
        </w:rPr>
        <w:t xml:space="preserve"> </w:t>
      </w:r>
    </w:p>
    <w:p w:rsidR="00093EEC" w:rsidRPr="00423219" w:rsidRDefault="00093EEC" w:rsidP="00093EEC">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lang w:val="es-PE"/>
        </w:rPr>
        <w:t xml:space="preserve">Los trabajadores asistencias del servicio de Emergencia y shock trauma-UVI solicitamos que se nos Programe 10-12 guardias por ser considerados </w:t>
      </w:r>
      <w:r w:rsidRPr="00423219">
        <w:rPr>
          <w:rFonts w:ascii="Arial" w:eastAsia="Calibri" w:hAnsi="Arial" w:cs="Arial"/>
          <w:b/>
          <w:lang w:val="es-PE"/>
        </w:rPr>
        <w:t>Área Critica</w:t>
      </w:r>
      <w:r w:rsidRPr="00423219">
        <w:rPr>
          <w:rFonts w:ascii="Arial" w:eastAsia="Calibri" w:hAnsi="Arial" w:cs="Arial"/>
          <w:lang w:val="es-PE"/>
        </w:rPr>
        <w:t xml:space="preserve"> del Hospital Pampas Tayacaja.</w:t>
      </w:r>
    </w:p>
    <w:p w:rsidR="00093EEC" w:rsidRPr="00423219" w:rsidRDefault="00093EEC" w:rsidP="00093EEC">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 xml:space="preserve">Área Critica: </w:t>
      </w:r>
      <w:r w:rsidRPr="00423219">
        <w:rPr>
          <w:rFonts w:ascii="Arial" w:eastAsia="Calibri" w:hAnsi="Arial" w:cs="Arial"/>
          <w:lang w:val="es-PE"/>
        </w:rPr>
        <w:t>Es aquella unidad o departamento que proporciona atención médica especializada a pacientes con condiciones inestables o que ponen en peligro la vida el cual se caracteriza por: Alta complejidad, monitoreo constante, personal altamente especializado, responsabilidad y riesgo, trabajo intenso y exigente.</w:t>
      </w:r>
    </w:p>
    <w:p w:rsidR="00093EEC" w:rsidRPr="00423219" w:rsidRDefault="00093EEC" w:rsidP="00093EEC">
      <w:pPr>
        <w:pStyle w:val="Prrafodelista"/>
        <w:numPr>
          <w:ilvl w:val="0"/>
          <w:numId w:val="1"/>
        </w:numPr>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 la R.M. N° 537-92-SA/DM en el </w:t>
      </w:r>
    </w:p>
    <w:p w:rsidR="00093EEC" w:rsidRPr="00423219" w:rsidRDefault="00093EEC" w:rsidP="00093EEC">
      <w:pPr>
        <w:pStyle w:val="Prrafodelista"/>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Art.1° considera GUARDIAS a aquella actividad realizada en cumplimiento de necesidades imprescindibles del servicio, comprendiendo actividades múltiples y diferenciadas de las efectuadas en jornadas ordinarias. La guardia hospitalaria se cumple con presencia física y permanencia en el servicio.</w:t>
      </w:r>
    </w:p>
    <w:p w:rsidR="00093EEC" w:rsidRPr="00423219" w:rsidRDefault="00093EEC" w:rsidP="00093EEC">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En el Art. 10 del D.S.N° 1153 establece que el Servicio de Guardia es la actividad que el personal de salud realiza de manera obligatoria y efectiva por necesidad o continuidad de la atención de salud a requerimiento de la entidad durante 12 horas continuas  para garantizar la atención  de salud interrumpida en los servicios  de salud.</w:t>
      </w:r>
    </w:p>
    <w:p w:rsidR="00093EEC" w:rsidRPr="00423219" w:rsidRDefault="00093EEC" w:rsidP="00093EEC">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En el Informe Técnico N° 164-2017-servir/GPGSC Precisa que el trabajo de guardias no puede ser entendido como un derecho sino como una obligación de los profesionales, técnicos y auxiliares asistenciales que constituyen el equipo básico de guardias y que cumplen dicha actividad en el servicio de Emergencia, Hospitalización y cuidados Intensivos.</w:t>
      </w:r>
    </w:p>
    <w:p w:rsidR="00093EEC" w:rsidRPr="00423219" w:rsidRDefault="00093EEC" w:rsidP="00093EEC">
      <w:pPr>
        <w:pStyle w:val="Prrafodelista"/>
        <w:widowControl w:val="0"/>
        <w:numPr>
          <w:ilvl w:val="0"/>
          <w:numId w:val="1"/>
        </w:numPr>
        <w:tabs>
          <w:tab w:val="left" w:pos="1418"/>
        </w:tabs>
        <w:autoSpaceDE w:val="0"/>
        <w:autoSpaceDN w:val="0"/>
        <w:adjustRightInd w:val="0"/>
        <w:spacing w:after="160" w:line="360" w:lineRule="auto"/>
        <w:ind w:left="709"/>
        <w:jc w:val="both"/>
        <w:rPr>
          <w:rFonts w:ascii="Arial" w:eastAsia="Calibri" w:hAnsi="Arial" w:cs="Arial"/>
          <w:b/>
          <w:bCs/>
          <w:sz w:val="22"/>
          <w:szCs w:val="22"/>
          <w:lang w:eastAsia="en-US"/>
        </w:rPr>
      </w:pPr>
      <w:r w:rsidRPr="00423219">
        <w:rPr>
          <w:rFonts w:ascii="Arial" w:eastAsia="Calibri" w:hAnsi="Arial" w:cs="Arial"/>
          <w:sz w:val="22"/>
          <w:szCs w:val="22"/>
          <w:lang w:val="es-PE" w:eastAsia="en-US"/>
        </w:rPr>
        <w:t>El MINSA ha reconocido que el personal de salud es un Factor sumamente fundamental sino el más importante del sistema sanitario, su cantidad, distribución y competencias adecuadas se traducen directamente en servicios disponibles y apropiados para atender las necesidades de la población.</w:t>
      </w:r>
    </w:p>
    <w:p w:rsidR="00093EEC" w:rsidRDefault="00093EEC" w:rsidP="00093EEC">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lang w:val="es-PE" w:eastAsia="es-PE"/>
        </w:rPr>
        <w:t xml:space="preserve">Igualmente, nuestro sustento, se debe a que somos la Segunda Provincia, después de la Provincia de Huancavelica   con </w:t>
      </w:r>
      <w:r>
        <w:rPr>
          <w:rFonts w:ascii="Arial" w:hAnsi="Arial" w:cs="Arial"/>
          <w:b/>
          <w:lang w:val="es-PE" w:eastAsia="es-PE"/>
        </w:rPr>
        <w:t>alta a</w:t>
      </w:r>
      <w:r w:rsidRPr="00423219">
        <w:rPr>
          <w:rFonts w:ascii="Arial" w:hAnsi="Arial" w:cs="Arial"/>
          <w:b/>
          <w:lang w:val="es-PE" w:eastAsia="es-PE"/>
        </w:rPr>
        <w:t>fluencia de pacientes</w:t>
      </w:r>
      <w:r w:rsidRPr="00423219">
        <w:rPr>
          <w:rFonts w:ascii="Arial" w:hAnsi="Arial" w:cs="Arial"/>
          <w:lang w:val="es-PE" w:eastAsia="es-PE"/>
        </w:rPr>
        <w:t xml:space="preserve">, y alta población </w:t>
      </w:r>
    </w:p>
    <w:p w:rsidR="00093EEC" w:rsidRDefault="00093EEC" w:rsidP="00093EEC">
      <w:pPr>
        <w:autoSpaceDE w:val="0"/>
        <w:autoSpaceDN w:val="0"/>
        <w:adjustRightInd w:val="0"/>
        <w:spacing w:after="200" w:line="360" w:lineRule="auto"/>
        <w:ind w:left="709"/>
        <w:contextualSpacing/>
        <w:jc w:val="both"/>
        <w:rPr>
          <w:rFonts w:ascii="Arial" w:hAnsi="Arial" w:cs="Arial"/>
          <w:lang w:val="es-PE" w:eastAsia="es-PE"/>
        </w:rPr>
      </w:pPr>
    </w:p>
    <w:p w:rsidR="00093EEC" w:rsidRDefault="00093EEC" w:rsidP="00093EEC">
      <w:pPr>
        <w:autoSpaceDE w:val="0"/>
        <w:autoSpaceDN w:val="0"/>
        <w:adjustRightInd w:val="0"/>
        <w:spacing w:after="200" w:line="360" w:lineRule="auto"/>
        <w:ind w:left="709"/>
        <w:contextualSpacing/>
        <w:jc w:val="both"/>
        <w:rPr>
          <w:rFonts w:ascii="Arial" w:hAnsi="Arial" w:cs="Arial"/>
          <w:lang w:val="es-PE" w:eastAsia="es-PE"/>
        </w:rPr>
      </w:pPr>
    </w:p>
    <w:p w:rsidR="00093EEC" w:rsidRDefault="00093EEC" w:rsidP="00093EEC">
      <w:pPr>
        <w:autoSpaceDE w:val="0"/>
        <w:autoSpaceDN w:val="0"/>
        <w:adjustRightInd w:val="0"/>
        <w:spacing w:after="200" w:line="360" w:lineRule="auto"/>
        <w:ind w:left="709"/>
        <w:contextualSpacing/>
        <w:jc w:val="both"/>
        <w:rPr>
          <w:rFonts w:ascii="Arial" w:hAnsi="Arial" w:cs="Arial"/>
          <w:lang w:val="es-PE" w:eastAsia="es-PE"/>
        </w:rPr>
      </w:pPr>
    </w:p>
    <w:p w:rsidR="00093EEC" w:rsidRDefault="00093EEC" w:rsidP="00093EEC">
      <w:pPr>
        <w:autoSpaceDE w:val="0"/>
        <w:autoSpaceDN w:val="0"/>
        <w:adjustRightInd w:val="0"/>
        <w:spacing w:after="200" w:line="360" w:lineRule="auto"/>
        <w:ind w:left="709"/>
        <w:contextualSpacing/>
        <w:jc w:val="both"/>
        <w:rPr>
          <w:rFonts w:ascii="Arial" w:hAnsi="Arial" w:cs="Arial"/>
          <w:b/>
          <w:u w:val="single"/>
          <w:lang w:val="es-PE" w:eastAsia="es-PE"/>
        </w:rPr>
      </w:pPr>
      <w:r w:rsidRPr="00423219">
        <w:rPr>
          <w:rFonts w:ascii="Arial" w:hAnsi="Arial" w:cs="Arial"/>
          <w:lang w:val="es-PE" w:eastAsia="es-PE"/>
        </w:rPr>
        <w:t xml:space="preserve">tal como muestra y queda aprobado </w:t>
      </w:r>
      <w:r w:rsidRPr="00423219">
        <w:rPr>
          <w:rFonts w:ascii="Arial" w:hAnsi="Arial" w:cs="Arial"/>
          <w:b/>
          <w:lang w:val="es-PE" w:eastAsia="es-PE"/>
        </w:rPr>
        <w:t xml:space="preserve">EL PROGRAMA REGIONAL DE POBLACIÓN DE HUANCAVELICA 2014 – 2017 </w:t>
      </w:r>
      <w:r w:rsidRPr="00423219">
        <w:rPr>
          <w:rFonts w:ascii="Arial" w:hAnsi="Arial" w:cs="Arial"/>
          <w:lang w:val="es-PE" w:eastAsia="es-PE"/>
        </w:rPr>
        <w:t xml:space="preserve">de acuerdo a la </w:t>
      </w:r>
      <w:r w:rsidRPr="00423219">
        <w:rPr>
          <w:rFonts w:ascii="Arial" w:hAnsi="Arial" w:cs="Arial"/>
          <w:b/>
          <w:u w:val="single"/>
          <w:lang w:val="es-PE" w:eastAsia="es-PE"/>
        </w:rPr>
        <w:t>Ordenanza Regional N° 271-</w:t>
      </w:r>
    </w:p>
    <w:p w:rsidR="00093EEC" w:rsidRPr="00BC1F77" w:rsidRDefault="00093EEC" w:rsidP="00093EEC">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b/>
          <w:u w:val="single"/>
          <w:lang w:val="es-PE" w:eastAsia="es-PE"/>
        </w:rPr>
        <w:t>GOB.REG-HVCA/CR</w:t>
      </w:r>
      <w:r w:rsidRPr="00423219">
        <w:rPr>
          <w:rFonts w:ascii="Arial" w:hAnsi="Arial" w:cs="Arial"/>
          <w:lang w:val="es-PE" w:eastAsia="es-PE"/>
        </w:rPr>
        <w:t>. A esto sumamos las atenciones que brindamos a la población de las Provincias de Churcampa; parte de la Provincia de Hua</w:t>
      </w:r>
      <w:r>
        <w:rPr>
          <w:rFonts w:ascii="Arial" w:hAnsi="Arial" w:cs="Arial"/>
          <w:lang w:val="es-PE" w:eastAsia="es-PE"/>
        </w:rPr>
        <w:t>n</w:t>
      </w:r>
      <w:r w:rsidRPr="00423219">
        <w:rPr>
          <w:rFonts w:ascii="Arial" w:hAnsi="Arial" w:cs="Arial"/>
          <w:lang w:val="es-PE" w:eastAsia="es-PE"/>
        </w:rPr>
        <w:t>ta</w:t>
      </w:r>
      <w:r>
        <w:rPr>
          <w:rFonts w:ascii="Arial" w:hAnsi="Arial" w:cs="Arial"/>
          <w:lang w:val="es-PE" w:eastAsia="es-PE"/>
        </w:rPr>
        <w:t xml:space="preserve"> </w:t>
      </w:r>
      <w:r w:rsidRPr="00423219">
        <w:rPr>
          <w:rFonts w:ascii="Arial" w:hAnsi="Arial" w:cs="Arial"/>
          <w:lang w:val="es-PE" w:eastAsia="es-PE"/>
        </w:rPr>
        <w:t>de la Región Ayacucho, por la accesibilidad geográfica. Por ello es una necesidad mayor, el estímulo económicamente y capacitación a los trabajadores a fin de fortalecer en la protección de nuestra población.</w:t>
      </w:r>
    </w:p>
    <w:p w:rsidR="00093EEC" w:rsidRPr="00423219" w:rsidRDefault="00093EEC" w:rsidP="00093EEC">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sz w:val="22"/>
          <w:szCs w:val="22"/>
          <w:u w:val="single"/>
          <w:lang w:val="es-PE" w:eastAsia="en-US"/>
        </w:rPr>
        <w:t>Sin embargo, esto no queda ahí</w:t>
      </w:r>
      <w:r w:rsidRPr="00423219">
        <w:rPr>
          <w:rFonts w:ascii="Arial" w:eastAsia="Calibri" w:hAnsi="Arial" w:cs="Arial"/>
          <w:sz w:val="22"/>
          <w:szCs w:val="22"/>
          <w:lang w:val="es-PE" w:eastAsia="en-US"/>
        </w:rPr>
        <w:t xml:space="preserve">, en razón que existe crecimiento poblacional y consiguiente incremento de la demanda de atención en los servicios de salud, hacen indispensable ampliar número de guardias que viene realizando el personal asistencial, a fin de asegurar la calidad y satisfacer la demanda de las prestaciones que brindan los establecimientos hospitalarios del Ministerio de Salud; justamente por esta razón y pensando en sus trabajadores, el MINSA. dicta una nueva norma para asegurar una adecuada aplicación y cumplimiento del sistema de trabajo correspondiente a las actividades asistenciales; tal es así se </w:t>
      </w:r>
      <w:r w:rsidRPr="00423219">
        <w:rPr>
          <w:rFonts w:ascii="Arial" w:eastAsia="Calibri" w:hAnsi="Arial" w:cs="Arial"/>
          <w:b/>
          <w:sz w:val="22"/>
          <w:szCs w:val="22"/>
          <w:u w:val="single"/>
          <w:lang w:val="es-PE" w:eastAsia="en-US"/>
        </w:rPr>
        <w:t>ADICIONA</w:t>
      </w:r>
      <w:r w:rsidRPr="00423219">
        <w:rPr>
          <w:rFonts w:ascii="Arial" w:eastAsia="Calibri" w:hAnsi="Arial" w:cs="Arial"/>
          <w:sz w:val="22"/>
          <w:szCs w:val="22"/>
          <w:lang w:val="es-PE" w:eastAsia="en-US"/>
        </w:rPr>
        <w:t xml:space="preserve"> los </w:t>
      </w:r>
      <w:r w:rsidRPr="00423219">
        <w:rPr>
          <w:rFonts w:ascii="Arial" w:eastAsia="Calibri" w:hAnsi="Arial" w:cs="Arial"/>
          <w:b/>
          <w:bCs/>
          <w:sz w:val="22"/>
          <w:szCs w:val="22"/>
          <w:lang w:val="es-PE" w:eastAsia="en-US"/>
        </w:rPr>
        <w:t xml:space="preserve">ARTÍCULOS 13º, 26º Y 27º DEL REGLAMENTO DE ADMINISTRACIÓN DE GUARDIAS HOSPITALARIAS PARA EL PERSONAL ASISTENCIAL DE LOS ESTABLECIMIENTOS DEL MINISTERIO DE SALUD </w:t>
      </w:r>
      <w:r w:rsidRPr="00423219">
        <w:rPr>
          <w:rFonts w:ascii="Arial" w:eastAsia="Calibri" w:hAnsi="Arial" w:cs="Arial"/>
          <w:bCs/>
          <w:sz w:val="22"/>
          <w:szCs w:val="22"/>
          <w:lang w:val="es-PE" w:eastAsia="en-US"/>
        </w:rPr>
        <w:t xml:space="preserve">Mediante </w:t>
      </w:r>
      <w:r w:rsidRPr="00423219">
        <w:rPr>
          <w:rFonts w:ascii="Arial" w:eastAsia="Calibri" w:hAnsi="Arial" w:cs="Arial"/>
          <w:b/>
          <w:bCs/>
          <w:sz w:val="22"/>
          <w:szCs w:val="22"/>
          <w:lang w:val="es-PE" w:eastAsia="en-US"/>
        </w:rPr>
        <w:t>RESOLUCIÓN MINISTERIAL N° 0184-2000-SA/DM</w:t>
      </w:r>
      <w:r w:rsidRPr="00423219">
        <w:rPr>
          <w:rFonts w:ascii="Arial" w:eastAsia="Calibri" w:hAnsi="Arial" w:cs="Arial"/>
          <w:bCs/>
          <w:sz w:val="22"/>
          <w:szCs w:val="22"/>
          <w:lang w:val="es-PE" w:eastAsia="en-US"/>
        </w:rPr>
        <w:t xml:space="preserve">, y de acuerdo a dicha norma según el </w:t>
      </w:r>
      <w:r w:rsidRPr="00423219">
        <w:rPr>
          <w:rFonts w:ascii="Arial" w:eastAsia="Calibri" w:hAnsi="Arial" w:cs="Arial"/>
          <w:sz w:val="22"/>
          <w:szCs w:val="22"/>
          <w:lang w:val="es-PE" w:eastAsia="en-US"/>
        </w:rPr>
        <w:t xml:space="preserve">Artículo 26°: aprueba que </w:t>
      </w:r>
      <w:r w:rsidRPr="00423219">
        <w:rPr>
          <w:rFonts w:ascii="Arial" w:eastAsia="Calibri" w:hAnsi="Arial" w:cs="Arial"/>
          <w:b/>
          <w:sz w:val="22"/>
          <w:szCs w:val="22"/>
          <w:u w:val="single"/>
          <w:lang w:val="es-PE" w:eastAsia="en-US"/>
        </w:rPr>
        <w:t>“Con carácter extraordinario y en forma temporal, los establecimientos que tengan déficit de personal asistencial, podrán programar hasta 12 guardias hospitalarias mensuales pagadas</w:t>
      </w:r>
      <w:r w:rsidRPr="00423219">
        <w:rPr>
          <w:rFonts w:ascii="Arial" w:eastAsia="Calibri" w:hAnsi="Arial" w:cs="Arial"/>
          <w:sz w:val="22"/>
          <w:szCs w:val="22"/>
          <w:lang w:val="es-PE" w:eastAsia="en-US"/>
        </w:rPr>
        <w:t>.(…).</w:t>
      </w:r>
    </w:p>
    <w:p w:rsidR="00093EEC" w:rsidRPr="003D488F" w:rsidRDefault="00093EEC" w:rsidP="00093EEC">
      <w:pPr>
        <w:pStyle w:val="Prrafodelista"/>
        <w:numPr>
          <w:ilvl w:val="0"/>
          <w:numId w:val="1"/>
        </w:numPr>
        <w:autoSpaceDE w:val="0"/>
        <w:autoSpaceDN w:val="0"/>
        <w:adjustRightInd w:val="0"/>
        <w:spacing w:after="200" w:line="360" w:lineRule="auto"/>
        <w:jc w:val="both"/>
        <w:rPr>
          <w:rFonts w:ascii="Arial" w:eastAsia="Calibri" w:hAnsi="Arial" w:cs="Arial"/>
          <w:lang w:val="es-PE" w:eastAsia="en-US"/>
        </w:rPr>
      </w:pPr>
      <w:r w:rsidRPr="00423219">
        <w:rPr>
          <w:rFonts w:ascii="Arial" w:eastAsia="Calibri" w:hAnsi="Arial" w:cs="Arial"/>
          <w:b/>
          <w:sz w:val="22"/>
          <w:szCs w:val="22"/>
          <w:lang w:val="es-PE" w:eastAsia="en-US"/>
        </w:rPr>
        <w:t>Cuadro comparativo de las atenciones brindadas en el servicio de Emergencia -ST.</w:t>
      </w:r>
    </w:p>
    <w:p w:rsidR="00093EEC" w:rsidRPr="00423219" w:rsidRDefault="00093EEC" w:rsidP="00093EEC">
      <w:pPr>
        <w:pStyle w:val="Prrafodelista"/>
        <w:autoSpaceDE w:val="0"/>
        <w:autoSpaceDN w:val="0"/>
        <w:adjustRightInd w:val="0"/>
        <w:spacing w:after="200" w:line="276" w:lineRule="auto"/>
        <w:jc w:val="both"/>
        <w:rPr>
          <w:rFonts w:ascii="Arial" w:eastAsia="Calibri" w:hAnsi="Arial" w:cs="Arial"/>
          <w:b/>
          <w:lang w:val="es-PE" w:eastAsia="en-US"/>
        </w:rPr>
      </w:pPr>
    </w:p>
    <w:tbl>
      <w:tblPr>
        <w:tblStyle w:val="Tablaconcuadrcula"/>
        <w:tblW w:w="0" w:type="auto"/>
        <w:tblInd w:w="720" w:type="dxa"/>
        <w:tblLook w:val="04A0" w:firstRow="1" w:lastRow="0" w:firstColumn="1" w:lastColumn="0" w:noHBand="0" w:noVBand="1"/>
      </w:tblPr>
      <w:tblGrid>
        <w:gridCol w:w="1939"/>
        <w:gridCol w:w="1585"/>
        <w:gridCol w:w="1585"/>
        <w:gridCol w:w="1585"/>
        <w:gridCol w:w="1414"/>
      </w:tblGrid>
      <w:tr w:rsidR="00093EEC" w:rsidRPr="00423219" w:rsidTr="005040CE">
        <w:tc>
          <w:tcPr>
            <w:tcW w:w="1939"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bookmarkStart w:id="1" w:name="_Hlk194695109"/>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c>
          <w:tcPr>
            <w:tcW w:w="1414"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2025</w:t>
            </w:r>
          </w:p>
        </w:tc>
      </w:tr>
      <w:tr w:rsidR="00093EEC" w:rsidRPr="00423219" w:rsidTr="005040CE">
        <w:tc>
          <w:tcPr>
            <w:tcW w:w="1939"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General</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3066</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3494</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3906</w:t>
            </w:r>
          </w:p>
        </w:tc>
        <w:tc>
          <w:tcPr>
            <w:tcW w:w="1414"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2940</w:t>
            </w:r>
          </w:p>
        </w:tc>
      </w:tr>
      <w:tr w:rsidR="00093EEC" w:rsidRPr="00423219" w:rsidTr="005040CE">
        <w:tc>
          <w:tcPr>
            <w:tcW w:w="1939"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Pediátrica</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1740</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2427</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2636</w:t>
            </w:r>
          </w:p>
        </w:tc>
        <w:tc>
          <w:tcPr>
            <w:tcW w:w="1414"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2500</w:t>
            </w:r>
          </w:p>
        </w:tc>
      </w:tr>
      <w:tr w:rsidR="00093EEC" w:rsidRPr="00423219" w:rsidTr="005040CE">
        <w:tc>
          <w:tcPr>
            <w:tcW w:w="1939"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Shock trauma</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172</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182</w:t>
            </w:r>
          </w:p>
        </w:tc>
        <w:tc>
          <w:tcPr>
            <w:tcW w:w="158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163</w:t>
            </w:r>
          </w:p>
        </w:tc>
        <w:tc>
          <w:tcPr>
            <w:tcW w:w="1414"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266</w:t>
            </w:r>
          </w:p>
        </w:tc>
      </w:tr>
      <w:bookmarkEnd w:id="1"/>
    </w:tbl>
    <w:p w:rsidR="00093EEC" w:rsidRPr="00423219" w:rsidRDefault="00093EEC" w:rsidP="00093EEC">
      <w:pPr>
        <w:pStyle w:val="Prrafodelista"/>
        <w:autoSpaceDE w:val="0"/>
        <w:autoSpaceDN w:val="0"/>
        <w:adjustRightInd w:val="0"/>
        <w:spacing w:after="200" w:line="276" w:lineRule="auto"/>
        <w:jc w:val="both"/>
        <w:rPr>
          <w:rFonts w:ascii="Arial" w:eastAsia="Calibri" w:hAnsi="Arial" w:cs="Arial"/>
          <w:lang w:val="es-PE" w:eastAsia="en-US"/>
        </w:rPr>
      </w:pPr>
    </w:p>
    <w:p w:rsidR="00093EEC" w:rsidRDefault="00093EEC" w:rsidP="00093EEC">
      <w:pPr>
        <w:pStyle w:val="Prrafodelista"/>
        <w:autoSpaceDE w:val="0"/>
        <w:autoSpaceDN w:val="0"/>
        <w:adjustRightInd w:val="0"/>
        <w:spacing w:after="200" w:line="276" w:lineRule="auto"/>
        <w:jc w:val="both"/>
        <w:rPr>
          <w:rFonts w:ascii="Arial" w:eastAsia="Calibri" w:hAnsi="Arial" w:cs="Arial"/>
          <w:b/>
          <w:lang w:val="es-PE" w:eastAsia="en-US"/>
        </w:rPr>
      </w:pPr>
    </w:p>
    <w:p w:rsidR="00093EEC" w:rsidRDefault="00093EEC" w:rsidP="00093EEC">
      <w:pPr>
        <w:pStyle w:val="Prrafodelista"/>
        <w:autoSpaceDE w:val="0"/>
        <w:autoSpaceDN w:val="0"/>
        <w:adjustRightInd w:val="0"/>
        <w:spacing w:after="200" w:line="276" w:lineRule="auto"/>
        <w:jc w:val="both"/>
        <w:rPr>
          <w:rFonts w:ascii="Arial" w:eastAsia="Calibri" w:hAnsi="Arial" w:cs="Arial"/>
          <w:b/>
          <w:lang w:val="es-PE" w:eastAsia="en-US"/>
        </w:rPr>
      </w:pPr>
    </w:p>
    <w:p w:rsidR="00093EEC" w:rsidRDefault="00093EEC" w:rsidP="00093EEC">
      <w:pPr>
        <w:pStyle w:val="Prrafodelista"/>
        <w:autoSpaceDE w:val="0"/>
        <w:autoSpaceDN w:val="0"/>
        <w:adjustRightInd w:val="0"/>
        <w:spacing w:after="200" w:line="276" w:lineRule="auto"/>
        <w:jc w:val="both"/>
        <w:rPr>
          <w:rFonts w:ascii="Arial" w:eastAsia="Calibri" w:hAnsi="Arial" w:cs="Arial"/>
          <w:b/>
          <w:lang w:val="es-PE" w:eastAsia="en-US"/>
        </w:rPr>
      </w:pPr>
    </w:p>
    <w:p w:rsidR="00093EEC" w:rsidRPr="00423219" w:rsidRDefault="00093EEC" w:rsidP="00093EEC">
      <w:pPr>
        <w:pStyle w:val="Prrafodelista"/>
        <w:autoSpaceDE w:val="0"/>
        <w:autoSpaceDN w:val="0"/>
        <w:adjustRightInd w:val="0"/>
        <w:spacing w:after="200" w:line="276" w:lineRule="auto"/>
        <w:jc w:val="both"/>
        <w:rPr>
          <w:rFonts w:ascii="Arial" w:eastAsia="Calibri" w:hAnsi="Arial" w:cs="Arial"/>
          <w:b/>
          <w:lang w:val="es-PE" w:eastAsia="en-US"/>
        </w:rPr>
      </w:pPr>
      <w:r w:rsidRPr="00423219">
        <w:rPr>
          <w:rFonts w:ascii="Arial" w:eastAsia="Calibri" w:hAnsi="Arial" w:cs="Arial"/>
          <w:b/>
          <w:lang w:val="es-PE" w:eastAsia="en-US"/>
        </w:rPr>
        <w:t>PRIORIDADES:</w:t>
      </w:r>
    </w:p>
    <w:tbl>
      <w:tblPr>
        <w:tblStyle w:val="Tablaconcuadrcula"/>
        <w:tblW w:w="0" w:type="auto"/>
        <w:tblInd w:w="720" w:type="dxa"/>
        <w:tblLook w:val="04A0" w:firstRow="1" w:lastRow="0" w:firstColumn="1" w:lastColumn="0" w:noHBand="0" w:noVBand="1"/>
      </w:tblPr>
      <w:tblGrid>
        <w:gridCol w:w="1809"/>
        <w:gridCol w:w="1615"/>
        <w:gridCol w:w="1616"/>
        <w:gridCol w:w="1616"/>
        <w:gridCol w:w="1452"/>
      </w:tblGrid>
      <w:tr w:rsidR="00093EEC" w:rsidRPr="00423219" w:rsidTr="005040CE">
        <w:tc>
          <w:tcPr>
            <w:tcW w:w="1809"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p>
        </w:tc>
        <w:tc>
          <w:tcPr>
            <w:tcW w:w="161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1616"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1616"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c>
          <w:tcPr>
            <w:tcW w:w="1452"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2025</w:t>
            </w:r>
          </w:p>
        </w:tc>
      </w:tr>
      <w:tr w:rsidR="00093EEC" w:rsidRPr="00423219" w:rsidTr="005040CE">
        <w:tc>
          <w:tcPr>
            <w:tcW w:w="1809"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w:t>
            </w:r>
          </w:p>
        </w:tc>
        <w:tc>
          <w:tcPr>
            <w:tcW w:w="161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365</w:t>
            </w:r>
          </w:p>
        </w:tc>
        <w:tc>
          <w:tcPr>
            <w:tcW w:w="1616"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561</w:t>
            </w:r>
          </w:p>
        </w:tc>
        <w:tc>
          <w:tcPr>
            <w:tcW w:w="1616"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274</w:t>
            </w:r>
          </w:p>
        </w:tc>
        <w:tc>
          <w:tcPr>
            <w:tcW w:w="1452"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266</w:t>
            </w:r>
          </w:p>
        </w:tc>
      </w:tr>
      <w:tr w:rsidR="00093EEC" w:rsidRPr="00423219" w:rsidTr="005040CE">
        <w:tc>
          <w:tcPr>
            <w:tcW w:w="1809"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w:t>
            </w:r>
          </w:p>
        </w:tc>
        <w:tc>
          <w:tcPr>
            <w:tcW w:w="161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4109</w:t>
            </w:r>
          </w:p>
        </w:tc>
        <w:tc>
          <w:tcPr>
            <w:tcW w:w="1616"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2975</w:t>
            </w:r>
          </w:p>
        </w:tc>
        <w:tc>
          <w:tcPr>
            <w:tcW w:w="1616"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2962</w:t>
            </w:r>
          </w:p>
        </w:tc>
        <w:tc>
          <w:tcPr>
            <w:tcW w:w="1452"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2698</w:t>
            </w:r>
          </w:p>
        </w:tc>
      </w:tr>
      <w:tr w:rsidR="00093EEC" w:rsidRPr="00423219" w:rsidTr="005040CE">
        <w:tc>
          <w:tcPr>
            <w:tcW w:w="1809"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III</w:t>
            </w:r>
          </w:p>
        </w:tc>
        <w:tc>
          <w:tcPr>
            <w:tcW w:w="1615"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2711</w:t>
            </w:r>
          </w:p>
        </w:tc>
        <w:tc>
          <w:tcPr>
            <w:tcW w:w="1616"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3611</w:t>
            </w:r>
          </w:p>
        </w:tc>
        <w:tc>
          <w:tcPr>
            <w:tcW w:w="1616"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4629</w:t>
            </w:r>
          </w:p>
        </w:tc>
        <w:tc>
          <w:tcPr>
            <w:tcW w:w="1452" w:type="dxa"/>
          </w:tcPr>
          <w:p w:rsidR="00093EEC" w:rsidRPr="00423219" w:rsidRDefault="00093EEC" w:rsidP="005040CE">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4497</w:t>
            </w:r>
          </w:p>
        </w:tc>
      </w:tr>
    </w:tbl>
    <w:p w:rsidR="00093EEC" w:rsidRDefault="00093EEC" w:rsidP="00093EEC">
      <w:pPr>
        <w:pStyle w:val="Prrafodelista"/>
        <w:autoSpaceDE w:val="0"/>
        <w:autoSpaceDN w:val="0"/>
        <w:adjustRightInd w:val="0"/>
        <w:spacing w:after="200" w:line="276" w:lineRule="auto"/>
        <w:jc w:val="both"/>
        <w:rPr>
          <w:rFonts w:ascii="Arial" w:eastAsia="Calibri" w:hAnsi="Arial" w:cs="Arial"/>
          <w:lang w:val="es-PE" w:eastAsia="en-US"/>
        </w:rPr>
      </w:pPr>
    </w:p>
    <w:p w:rsidR="00093EEC" w:rsidRPr="00423219" w:rsidRDefault="00093EEC" w:rsidP="00093EEC">
      <w:pPr>
        <w:pStyle w:val="Prrafodelista"/>
        <w:autoSpaceDE w:val="0"/>
        <w:autoSpaceDN w:val="0"/>
        <w:adjustRightInd w:val="0"/>
        <w:spacing w:after="200" w:line="276" w:lineRule="auto"/>
        <w:jc w:val="both"/>
        <w:rPr>
          <w:rFonts w:ascii="Arial" w:eastAsia="Calibri" w:hAnsi="Arial" w:cs="Arial"/>
          <w:lang w:val="es-PE" w:eastAsia="en-US"/>
        </w:rPr>
      </w:pPr>
    </w:p>
    <w:p w:rsidR="00093EEC" w:rsidRPr="00423219" w:rsidRDefault="00093EEC" w:rsidP="00093EEC">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Laborar en Emergencia-shock trauma (área critica) Emergencias pediátricas las funciones y responsabilidades que prestan  el personal asistencial  están expuestos a un nivel de exigencia, estrés y riesgo significativamente mayor en comparación con aquellos que desempeñan  labores en otras áreas, la alta rotación de pacientes en estado delicado, la constante  tensión, el potencial de incidentes  de seguridad y la necesidad de una respuesta inmediata y efectiva, justifica plenamente la consideración de estas labores como propias de un  área critica. Esta medida no solo reconocerá la labor crucial de estos profesionales, sino que también contribuirá a mantener un equipo motivado y comprometido con la seguridad de un entorno tan sensible.</w:t>
      </w:r>
    </w:p>
    <w:p w:rsidR="00093EEC" w:rsidRDefault="00093EEC" w:rsidP="00093EEC">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Todo el personal asistencial que laboran en emergencia es común que realicen actividades fuera de su rol programado de 150 horas como estipula la ley, programas y participar en comités, así como</w:t>
      </w:r>
      <w:r w:rsidRPr="00E040B7">
        <w:rPr>
          <w:rFonts w:ascii="Arial" w:eastAsia="Calibri" w:hAnsi="Arial" w:cs="Arial"/>
          <w:b/>
          <w:sz w:val="22"/>
          <w:szCs w:val="22"/>
          <w:lang w:val="es-PE" w:eastAsia="en-US"/>
        </w:rPr>
        <w:t xml:space="preserve"> llevar referencias a otros hospitales </w:t>
      </w:r>
      <w:r w:rsidRPr="00423219">
        <w:rPr>
          <w:rFonts w:ascii="Arial" w:eastAsia="Calibri" w:hAnsi="Arial" w:cs="Arial"/>
          <w:sz w:val="22"/>
          <w:szCs w:val="22"/>
          <w:lang w:val="es-PE" w:eastAsia="en-US"/>
        </w:rPr>
        <w:t>de mayor capacidad resolutiva (retenes). El hospital de pampas cuenta con población asignada el cual se tiene que cumplir indicadores sanitarios, indicadores hospitalarios y las tareas administrativas como la documentación demuestran una sobrecarga laboral para el personal asistencial del área de emergencia.</w:t>
      </w:r>
    </w:p>
    <w:p w:rsidR="00093EEC" w:rsidRDefault="00093EEC" w:rsidP="00093EEC">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 xml:space="preserve">Todo el personal profesional que labora en EMERGENCIA Y UVI, también se encarga de realizar labores administrativas, forman parte de los diferentes comités de gestión, elaboran documentos que solicitan la alta dirección apoyando a la gestión directoral desde sus puestos de trabajo, elaboran los informes mensuales de indicadores del hospital y desempeño; muchas veces se tiene que acudir fuera de los turnos programados, para cumplir con todo el trabajo administrativo, estos y </w:t>
      </w:r>
    </w:p>
    <w:p w:rsidR="00093EEC" w:rsidRDefault="00093EEC" w:rsidP="00093EEC">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rsidR="00093EEC" w:rsidRDefault="00093EEC" w:rsidP="00093EEC">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rsidR="00093EEC" w:rsidRDefault="00093EEC" w:rsidP="00093EEC">
      <w:pPr>
        <w:pStyle w:val="Prrafodelista"/>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otras actividades administrativas asumen el personal; con todo esto se corrobora el compromiso hacia la institución.</w:t>
      </w:r>
    </w:p>
    <w:p w:rsidR="00093EEC" w:rsidRPr="0090221C" w:rsidRDefault="00093EEC" w:rsidP="00093EEC">
      <w:pPr>
        <w:pStyle w:val="Prrafodelista"/>
        <w:numPr>
          <w:ilvl w:val="0"/>
          <w:numId w:val="1"/>
        </w:numPr>
        <w:autoSpaceDE w:val="0"/>
        <w:autoSpaceDN w:val="0"/>
        <w:adjustRightInd w:val="0"/>
        <w:spacing w:after="200" w:line="360" w:lineRule="auto"/>
        <w:jc w:val="both"/>
        <w:rPr>
          <w:rFonts w:ascii="Arial" w:eastAsia="Calibri" w:hAnsi="Arial" w:cs="Arial"/>
          <w:lang w:val="es-PE"/>
        </w:rPr>
      </w:pPr>
      <w:r w:rsidRPr="00522F87">
        <w:rPr>
          <w:rFonts w:ascii="Arial" w:eastAsia="Calibri" w:hAnsi="Arial" w:cs="Arial"/>
          <w:lang w:val="es-PE"/>
        </w:rPr>
        <w:t xml:space="preserve"> </w:t>
      </w:r>
      <w:r>
        <w:rPr>
          <w:rFonts w:ascii="Arial" w:eastAsia="Calibri" w:hAnsi="Arial" w:cs="Arial"/>
          <w:lang w:val="es-PE"/>
        </w:rPr>
        <w:t>En cuanto al personal Técnico de transportes también debe ser considerado el pago de 10 a 12 guardias en base a que en cumplimiento de sus funciones cubren las 24 horas del día los 365 días del año, la necesidad de presentarse emergencias para el traslado de pacientes es en cualquier momento, ya sea de día o de noche, teniendo como destino a Lima, Huancavelica, Huancayo y Ayacucho. Por tal motivo es necesario considerar el pago de sus respectivas guardias.</w:t>
      </w:r>
    </w:p>
    <w:p w:rsidR="00093EEC" w:rsidRPr="00423219" w:rsidRDefault="00093EEC" w:rsidP="00093EEC">
      <w:pPr>
        <w:pStyle w:val="Prrafodelista"/>
        <w:numPr>
          <w:ilvl w:val="0"/>
          <w:numId w:val="1"/>
        </w:numPr>
        <w:autoSpaceDE w:val="0"/>
        <w:autoSpaceDN w:val="0"/>
        <w:adjustRightInd w:val="0"/>
        <w:spacing w:after="200" w:line="276" w:lineRule="auto"/>
        <w:jc w:val="both"/>
        <w:rPr>
          <w:rFonts w:ascii="Arial" w:eastAsia="Calibri" w:hAnsi="Arial" w:cs="Arial"/>
          <w:b/>
          <w:lang w:val="es-PE" w:eastAsia="en-US"/>
        </w:rPr>
      </w:pPr>
      <w:r w:rsidRPr="00423219">
        <w:rPr>
          <w:rFonts w:ascii="Arial" w:hAnsi="Arial" w:cs="Arial"/>
          <w:b/>
          <w:i/>
        </w:rPr>
        <w:t>LEY DE TRABAJO MEDICO</w:t>
      </w:r>
      <w:r w:rsidRPr="00423219">
        <w:rPr>
          <w:rFonts w:ascii="Arial" w:hAnsi="Arial" w:cs="Arial"/>
        </w:rPr>
        <w:t xml:space="preserve"> establece: </w:t>
      </w:r>
    </w:p>
    <w:p w:rsidR="00093EEC" w:rsidRPr="00BC1F77" w:rsidRDefault="00093EEC" w:rsidP="00093EEC">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“El Congreso de la República, de conformidad con el Artículo 188 de la Constitución Política del Perú, por Ley N° 25186 ha delegado al Poder Ejecutivo la facultad para dictar mediante Decreto Legislativo sobre el Trabajo Médico, asegurando las condiciones adecuadas para el ejercicio profesional del Médico Cirujano por su complejidad y su especial </w:t>
      </w:r>
    </w:p>
    <w:p w:rsidR="00093EEC" w:rsidRPr="007D744D" w:rsidRDefault="00093EEC" w:rsidP="00093EEC">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responsabilidad en la defensa de la vida y en el proceso de atención de salud de la persona, que deviene esencial para la productividad y desarrollo económico-social acorde con la función que desempeña. Siendo necesario regular el trabajo del Médico Cirujano en todas las dependencias del Sector Público Nacional o Privado, en lo pertinente, concordante con la política del </w:t>
      </w:r>
      <w:r w:rsidRPr="007D744D">
        <w:rPr>
          <w:rFonts w:ascii="Arial" w:hAnsi="Arial" w:cs="Arial"/>
          <w:i/>
        </w:rPr>
        <w:t>gobierno que le permita cumplir con lo dispuesto en los Artículos 15 y 16 de la Constitución Política del Perú</w:t>
      </w:r>
      <w:r w:rsidRPr="007D744D">
        <w:rPr>
          <w:rFonts w:ascii="Arial" w:hAnsi="Arial" w:cs="Arial"/>
          <w:b/>
        </w:rPr>
        <w:t xml:space="preserve">   </w:t>
      </w:r>
    </w:p>
    <w:p w:rsidR="00093EEC" w:rsidRDefault="00093EEC" w:rsidP="00093EEC">
      <w:pPr>
        <w:pStyle w:val="Prrafodelista"/>
        <w:autoSpaceDE w:val="0"/>
        <w:autoSpaceDN w:val="0"/>
        <w:adjustRightInd w:val="0"/>
        <w:spacing w:after="200" w:line="276" w:lineRule="auto"/>
        <w:jc w:val="both"/>
        <w:rPr>
          <w:rFonts w:ascii="Arial" w:hAnsi="Arial" w:cs="Arial"/>
          <w:b/>
          <w:i/>
        </w:rPr>
      </w:pPr>
    </w:p>
    <w:p w:rsidR="00093EEC" w:rsidRPr="00423219" w:rsidRDefault="00093EEC" w:rsidP="00093EEC">
      <w:pPr>
        <w:pStyle w:val="Prrafodelista"/>
        <w:autoSpaceDE w:val="0"/>
        <w:autoSpaceDN w:val="0"/>
        <w:adjustRightInd w:val="0"/>
        <w:spacing w:after="200" w:line="276" w:lineRule="auto"/>
        <w:jc w:val="both"/>
        <w:rPr>
          <w:rFonts w:ascii="Arial" w:eastAsia="Calibri" w:hAnsi="Arial" w:cs="Arial"/>
          <w:b/>
          <w:i/>
          <w:lang w:val="es-PE" w:eastAsia="en-US"/>
        </w:rPr>
      </w:pPr>
      <w:r w:rsidRPr="00423219">
        <w:rPr>
          <w:rFonts w:ascii="Arial" w:hAnsi="Arial" w:cs="Arial"/>
          <w:b/>
          <w:i/>
        </w:rPr>
        <w:t xml:space="preserve">DE LA MODALIDAD DEL TRABAJO ASISTENCIAL EN EL SECTOR PUBLICO </w:t>
      </w:r>
    </w:p>
    <w:p w:rsidR="00093EEC" w:rsidRPr="00423219" w:rsidRDefault="00093EEC" w:rsidP="00093EEC">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1.-</w:t>
      </w:r>
      <w:r w:rsidRPr="00423219">
        <w:rPr>
          <w:rFonts w:ascii="Arial" w:hAnsi="Arial" w:cs="Arial"/>
          <w:i/>
        </w:rPr>
        <w:t xml:space="preserve"> El objeto de la presente Ley es normar y regular el trabajo del Médico Cirujano, con matrícula vigente en el Colegio Médico del Perú, en todas las dependencias al Sector Público Nacional y Sector Privado en lo aplicable. </w:t>
      </w:r>
    </w:p>
    <w:p w:rsidR="00093EEC" w:rsidRDefault="00093EEC" w:rsidP="00093EEC">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2.-</w:t>
      </w:r>
      <w:r w:rsidRPr="00423219">
        <w:rPr>
          <w:rFonts w:ascii="Arial" w:hAnsi="Arial" w:cs="Arial"/>
          <w:i/>
        </w:rPr>
        <w:t xml:space="preserve"> El ejercicio de la profesión del Médico Cirujano, por su complejidad y especial responsabilidad en defensa de la vida y en el proceso </w:t>
      </w:r>
    </w:p>
    <w:p w:rsidR="00093EEC" w:rsidRDefault="00093EEC" w:rsidP="00093EEC">
      <w:pPr>
        <w:pStyle w:val="Prrafodelista"/>
        <w:autoSpaceDE w:val="0"/>
        <w:autoSpaceDN w:val="0"/>
        <w:adjustRightInd w:val="0"/>
        <w:spacing w:after="200" w:line="360" w:lineRule="auto"/>
        <w:jc w:val="both"/>
        <w:rPr>
          <w:rFonts w:ascii="Arial" w:hAnsi="Arial" w:cs="Arial"/>
          <w:i/>
        </w:rPr>
      </w:pPr>
    </w:p>
    <w:p w:rsidR="00093EEC" w:rsidRDefault="00093EEC" w:rsidP="00093EEC">
      <w:pPr>
        <w:pStyle w:val="Prrafodelista"/>
        <w:autoSpaceDE w:val="0"/>
        <w:autoSpaceDN w:val="0"/>
        <w:adjustRightInd w:val="0"/>
        <w:spacing w:after="200" w:line="360" w:lineRule="auto"/>
        <w:jc w:val="both"/>
        <w:rPr>
          <w:rFonts w:ascii="Arial" w:hAnsi="Arial" w:cs="Arial"/>
          <w:i/>
        </w:rPr>
      </w:pPr>
    </w:p>
    <w:p w:rsidR="00093EEC" w:rsidRPr="000B77D6" w:rsidRDefault="00093EEC" w:rsidP="00093EEC">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de atención de salud de la persona es esencial para el desarrollo económico - social y la productividad nacional. </w:t>
      </w:r>
    </w:p>
    <w:p w:rsidR="00093EEC" w:rsidRPr="00D33182" w:rsidRDefault="00093EEC" w:rsidP="00093EEC">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3.-</w:t>
      </w:r>
      <w:r w:rsidRPr="00423219">
        <w:rPr>
          <w:rFonts w:ascii="Arial" w:hAnsi="Arial" w:cs="Arial"/>
          <w:i/>
        </w:rPr>
        <w:t xml:space="preserve"> El trabajo médico es el conjunto de acciones altamente especializadas que requieren de la decisión profesional del Médico Cirujano, </w:t>
      </w:r>
    </w:p>
    <w:p w:rsidR="00093EEC" w:rsidRPr="00474533" w:rsidRDefault="00093EEC" w:rsidP="00093EEC">
      <w:pPr>
        <w:pStyle w:val="Prrafodelista"/>
        <w:autoSpaceDE w:val="0"/>
        <w:autoSpaceDN w:val="0"/>
        <w:adjustRightInd w:val="0"/>
        <w:spacing w:after="200" w:line="360" w:lineRule="auto"/>
        <w:jc w:val="both"/>
        <w:rPr>
          <w:rFonts w:ascii="Arial" w:hAnsi="Arial" w:cs="Arial"/>
          <w:b/>
          <w:i/>
        </w:rPr>
      </w:pPr>
      <w:r w:rsidRPr="00423219">
        <w:rPr>
          <w:rFonts w:ascii="Arial" w:hAnsi="Arial" w:cs="Arial"/>
          <w:i/>
        </w:rPr>
        <w:t>dentro del proceso de atención integral de salud, que se dirige a la persona, la familia y la comunidad.</w:t>
      </w:r>
    </w:p>
    <w:p w:rsidR="00093EEC" w:rsidRPr="00423219" w:rsidRDefault="00093EEC" w:rsidP="00093EEC">
      <w:pPr>
        <w:pStyle w:val="Prrafodelista"/>
        <w:autoSpaceDE w:val="0"/>
        <w:autoSpaceDN w:val="0"/>
        <w:adjustRightInd w:val="0"/>
        <w:spacing w:after="200" w:line="360" w:lineRule="auto"/>
        <w:jc w:val="both"/>
        <w:rPr>
          <w:rFonts w:ascii="Arial" w:eastAsia="Calibri" w:hAnsi="Arial" w:cs="Arial"/>
          <w:lang w:val="es-PE" w:eastAsia="en-US"/>
        </w:rPr>
      </w:pPr>
      <w:r w:rsidRPr="00423219">
        <w:rPr>
          <w:rFonts w:ascii="Arial" w:hAnsi="Arial" w:cs="Arial"/>
          <w:b/>
          <w:i/>
        </w:rPr>
        <w:t>Artículo 11.-</w:t>
      </w:r>
      <w:r w:rsidRPr="00423219">
        <w:rPr>
          <w:rFonts w:ascii="Arial" w:hAnsi="Arial" w:cs="Arial"/>
          <w:i/>
        </w:rPr>
        <w:t xml:space="preserve"> El trabajo de guardia comprende actividades múltiples y diferenciadas de las realizadas ordinariamente: su duración no será superior a las l2 horas continuas. Excepcionalmente, y por necesidad del servicio podrá extenderse hasta 24 horas.</w:t>
      </w:r>
    </w:p>
    <w:p w:rsidR="00093EEC" w:rsidRPr="00BC1F77" w:rsidRDefault="00093EEC" w:rsidP="00093EEC">
      <w:pPr>
        <w:pStyle w:val="Prrafodelista"/>
        <w:numPr>
          <w:ilvl w:val="0"/>
          <w:numId w:val="1"/>
        </w:numPr>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sz w:val="22"/>
          <w:szCs w:val="22"/>
          <w:lang w:val="es-PE" w:eastAsia="en-US"/>
        </w:rPr>
        <w:t>De acuerdo a la normativa sobre guardias hospitalarias y comunitarias en los establecimientos asistenciales de salud menciona que la:</w:t>
      </w:r>
    </w:p>
    <w:p w:rsidR="00093EEC" w:rsidRPr="00423219" w:rsidRDefault="00093EEC" w:rsidP="00093EEC">
      <w:pPr>
        <w:pStyle w:val="Prrafodelista"/>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b/>
          <w:i/>
          <w:sz w:val="22"/>
          <w:szCs w:val="22"/>
          <w:lang w:val="es-PE" w:eastAsia="en-US"/>
        </w:rPr>
        <w:t>LEY DEL TRABAJO DE LA ENFERMERA(O) LEY N° 27669</w:t>
      </w:r>
      <w:r w:rsidRPr="00423219">
        <w:rPr>
          <w:rFonts w:ascii="Arial" w:eastAsia="Calibri" w:hAnsi="Arial" w:cs="Arial"/>
          <w:i/>
          <w:sz w:val="22"/>
          <w:szCs w:val="22"/>
          <w:lang w:val="es-PE" w:eastAsia="en-US"/>
        </w:rPr>
        <w:t xml:space="preserve"> en el </w:t>
      </w:r>
    </w:p>
    <w:p w:rsidR="00093EEC" w:rsidRPr="007D744D" w:rsidRDefault="00093EEC" w:rsidP="00093EEC">
      <w:pPr>
        <w:pStyle w:val="Prrafodelista"/>
        <w:autoSpaceDE w:val="0"/>
        <w:autoSpaceDN w:val="0"/>
        <w:adjustRightInd w:val="0"/>
        <w:spacing w:after="200" w:line="360" w:lineRule="auto"/>
        <w:jc w:val="both"/>
        <w:rPr>
          <w:rFonts w:ascii="Arial" w:eastAsia="Calibri" w:hAnsi="Arial" w:cs="Arial"/>
          <w:b/>
          <w:i/>
          <w:sz w:val="22"/>
          <w:szCs w:val="22"/>
          <w:lang w:val="es-PE" w:eastAsia="en-US"/>
        </w:rPr>
      </w:pPr>
      <w:r w:rsidRPr="00423219">
        <w:rPr>
          <w:rFonts w:ascii="Arial" w:eastAsia="Calibri" w:hAnsi="Arial" w:cs="Arial"/>
          <w:b/>
          <w:i/>
          <w:sz w:val="22"/>
          <w:szCs w:val="22"/>
          <w:lang w:val="es-PE" w:eastAsia="en-US"/>
        </w:rPr>
        <w:t>ARTÍCULO 18. “sobretiempos y descansos renumerados. El tiempo de trabajo que exceda la jornada laboral establecido será considerado como HORAS EXTRAORDINARIAS, DEBIENDO RENUMERARSE EN LA FORMA CORRESPONDIENTE. El trabajo prestado en los días que corresponden al descanso semanal y a los días feriados no laborables, sin descanso sustitutorio, da derecho a la Enfermera a percibir adicionalmente el pago de la remuneración que corresponde a dicha labor”.</w:t>
      </w:r>
    </w:p>
    <w:p w:rsidR="00093EEC" w:rsidRPr="00423219" w:rsidRDefault="00093EEC" w:rsidP="00093EEC">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al </w:t>
      </w:r>
      <w:r w:rsidRPr="00423219">
        <w:rPr>
          <w:rFonts w:ascii="Arial" w:eastAsia="Calibri" w:hAnsi="Arial" w:cs="Arial"/>
          <w:b/>
          <w:sz w:val="22"/>
          <w:szCs w:val="22"/>
          <w:lang w:val="es-PE" w:eastAsia="en-US"/>
        </w:rPr>
        <w:t>D.S. N°054-84-SA</w:t>
      </w:r>
      <w:r w:rsidRPr="00423219">
        <w:rPr>
          <w:rFonts w:ascii="Arial" w:eastAsia="Calibri" w:hAnsi="Arial" w:cs="Arial"/>
          <w:sz w:val="22"/>
          <w:szCs w:val="22"/>
          <w:lang w:val="es-PE" w:eastAsia="en-US"/>
        </w:rPr>
        <w:t xml:space="preserve"> </w:t>
      </w:r>
    </w:p>
    <w:p w:rsidR="00093EEC" w:rsidRPr="00423219" w:rsidRDefault="00093EEC" w:rsidP="00093EEC">
      <w:pPr>
        <w:pStyle w:val="Prrafodelista"/>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i/>
          <w:sz w:val="22"/>
          <w:szCs w:val="22"/>
          <w:lang w:val="es-PE" w:eastAsia="en-US"/>
        </w:rPr>
        <w:t>Artículo 2.-</w:t>
      </w:r>
      <w:r w:rsidRPr="00423219">
        <w:rPr>
          <w:rFonts w:ascii="Arial" w:eastAsia="Calibri" w:hAnsi="Arial" w:cs="Arial"/>
          <w:sz w:val="22"/>
          <w:szCs w:val="22"/>
          <w:lang w:val="es-PE" w:eastAsia="en-US"/>
        </w:rPr>
        <w:t xml:space="preserve"> </w:t>
      </w:r>
      <w:r w:rsidRPr="00423219">
        <w:rPr>
          <w:rFonts w:ascii="Arial" w:eastAsia="Calibri" w:hAnsi="Arial" w:cs="Arial"/>
          <w:i/>
          <w:sz w:val="22"/>
          <w:szCs w:val="22"/>
          <w:lang w:val="es-PE" w:eastAsia="en-US"/>
        </w:rPr>
        <w:t>La remuneración por guardia de los Enfermeros se otorga como compensación por trabajo en las áreas de actividad de Emergencia, o de Cuidados Intensivos o de Hospitalización, que se realiza los días feriados y domingos; y entre las 19:00 horas y las 07:00 horas de los otros días.</w:t>
      </w:r>
    </w:p>
    <w:p w:rsidR="00093EEC" w:rsidRPr="003D488F" w:rsidRDefault="00093EEC" w:rsidP="00093EEC">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Señor Director, usted tiene conocimiento que el personal asistencial de </w:t>
      </w:r>
      <w:r>
        <w:rPr>
          <w:rFonts w:ascii="Arial" w:eastAsia="Calibri" w:hAnsi="Arial" w:cs="Arial"/>
          <w:sz w:val="22"/>
          <w:szCs w:val="22"/>
          <w:lang w:val="es-PE" w:eastAsia="en-US"/>
        </w:rPr>
        <w:t xml:space="preserve">la UPS </w:t>
      </w:r>
      <w:r w:rsidRPr="00423219">
        <w:rPr>
          <w:rFonts w:ascii="Arial" w:eastAsia="Calibri" w:hAnsi="Arial" w:cs="Arial"/>
          <w:sz w:val="22"/>
          <w:szCs w:val="22"/>
          <w:lang w:val="es-PE" w:eastAsia="en-US"/>
        </w:rPr>
        <w:t xml:space="preserve">EMERGENCIA cumple una labor muy importante y es el sostén de un hospital ya que es el personal que representa la mayor fuerza de trabajo a comparación de las diferentes áreas hospitalarias y consultorios externos CON POBLACION ASIGNADA y el que más tiempo permanece junto al paciente. </w:t>
      </w:r>
    </w:p>
    <w:p w:rsidR="00093EEC" w:rsidRDefault="00093EEC" w:rsidP="00093EEC">
      <w:pPr>
        <w:autoSpaceDE w:val="0"/>
        <w:autoSpaceDN w:val="0"/>
        <w:adjustRightInd w:val="0"/>
        <w:spacing w:line="360" w:lineRule="auto"/>
        <w:jc w:val="both"/>
        <w:rPr>
          <w:rFonts w:ascii="Arial" w:eastAsia="Calibri" w:hAnsi="Arial" w:cs="Arial"/>
          <w:b/>
          <w:lang w:val="es-PE"/>
        </w:rPr>
      </w:pPr>
    </w:p>
    <w:p w:rsidR="00093EEC" w:rsidRDefault="00093EEC" w:rsidP="00093EEC">
      <w:pPr>
        <w:autoSpaceDE w:val="0"/>
        <w:autoSpaceDN w:val="0"/>
        <w:adjustRightInd w:val="0"/>
        <w:spacing w:line="360" w:lineRule="auto"/>
        <w:jc w:val="both"/>
        <w:rPr>
          <w:rFonts w:ascii="Arial" w:eastAsia="Calibri" w:hAnsi="Arial" w:cs="Arial"/>
          <w:b/>
          <w:lang w:val="es-PE"/>
        </w:rPr>
      </w:pPr>
    </w:p>
    <w:p w:rsidR="00093EEC" w:rsidRPr="007D744D" w:rsidRDefault="00093EEC" w:rsidP="00093EEC">
      <w:pPr>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lang w:val="es-PE"/>
        </w:rPr>
        <w:t xml:space="preserve">EN CONCLUSIÓN: </w:t>
      </w:r>
      <w:r w:rsidRPr="00423219">
        <w:rPr>
          <w:rFonts w:ascii="Arial" w:eastAsia="Calibri" w:hAnsi="Arial" w:cs="Arial"/>
          <w:lang w:val="es-PE"/>
        </w:rPr>
        <w:t>Solicitamos ser atendidos, y tengamos acceso a igualdad de oportunidades al igual que las otras regiones del país.</w:t>
      </w:r>
    </w:p>
    <w:p w:rsidR="00093EEC" w:rsidRPr="00423219" w:rsidRDefault="00093EEC" w:rsidP="00093EEC">
      <w:pPr>
        <w:shd w:val="clear" w:color="auto" w:fill="FFFFFF"/>
        <w:spacing w:after="200" w:line="360" w:lineRule="auto"/>
        <w:ind w:left="2832" w:firstLine="708"/>
        <w:jc w:val="both"/>
        <w:rPr>
          <w:rFonts w:ascii="Arial" w:hAnsi="Arial" w:cs="Arial"/>
          <w:lang w:val="es-PE" w:eastAsia="es-PE"/>
        </w:rPr>
      </w:pPr>
      <w:r w:rsidRPr="00423219">
        <w:rPr>
          <w:rFonts w:ascii="Arial" w:hAnsi="Arial" w:cs="Arial"/>
          <w:b/>
          <w:bCs/>
          <w:lang w:val="es-PE" w:eastAsia="es-PE"/>
        </w:rPr>
        <w:t>POR LO EXPUESTO:</w:t>
      </w:r>
    </w:p>
    <w:p w:rsidR="00093EEC" w:rsidRDefault="00093EEC" w:rsidP="00093EEC">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A usted señor Director y/o Jefe de la Oficina de Gestión de los Recursos Humanos del </w:t>
      </w:r>
      <w:r w:rsidRPr="00423219">
        <w:rPr>
          <w:rFonts w:ascii="Arial" w:eastAsia="Calibri" w:hAnsi="Arial" w:cs="Arial"/>
          <w:b/>
          <w:lang w:val="es-PE"/>
        </w:rPr>
        <w:t>HOSPITAL DE PAMPAS</w:t>
      </w:r>
      <w:r w:rsidRPr="00423219">
        <w:rPr>
          <w:rFonts w:ascii="Arial" w:eastAsia="Calibri" w:hAnsi="Arial" w:cs="Arial"/>
          <w:lang w:val="es-PE"/>
        </w:rPr>
        <w:t xml:space="preserve"> solicitamos tenga a bien aceptar el informe y reconsiderar, reevaluar su decisión inicial y declararla fundada y consecuentemente disponer la corrección de la programación de las 10 a 12 guardias hos</w:t>
      </w:r>
      <w:r>
        <w:rPr>
          <w:rFonts w:ascii="Arial" w:eastAsia="Calibri" w:hAnsi="Arial" w:cs="Arial"/>
          <w:lang w:val="es-PE"/>
        </w:rPr>
        <w:t>pitalarias para la UPS</w:t>
      </w:r>
      <w:r w:rsidRPr="00423219">
        <w:rPr>
          <w:rFonts w:ascii="Arial" w:eastAsia="Calibri" w:hAnsi="Arial" w:cs="Arial"/>
          <w:lang w:val="es-PE"/>
        </w:rPr>
        <w:t xml:space="preserve"> de </w:t>
      </w:r>
      <w:r>
        <w:rPr>
          <w:rFonts w:ascii="Arial" w:eastAsia="Calibri" w:hAnsi="Arial" w:cs="Arial"/>
          <w:lang w:val="es-PE"/>
        </w:rPr>
        <w:t>EMERGENCIA.</w:t>
      </w:r>
    </w:p>
    <w:p w:rsidR="00093EEC" w:rsidRPr="00423219" w:rsidRDefault="00093EEC" w:rsidP="00093EEC">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Pampas, </w:t>
      </w:r>
      <w:r>
        <w:rPr>
          <w:rFonts w:ascii="Arial" w:eastAsia="Calibri" w:hAnsi="Arial" w:cs="Arial"/>
          <w:lang w:val="es-PE"/>
        </w:rPr>
        <w:t>21</w:t>
      </w:r>
      <w:r w:rsidRPr="00423219">
        <w:rPr>
          <w:rFonts w:ascii="Arial" w:eastAsia="Calibri" w:hAnsi="Arial" w:cs="Arial"/>
          <w:lang w:val="es-PE"/>
        </w:rPr>
        <w:t xml:space="preserve"> de </w:t>
      </w:r>
      <w:r>
        <w:rPr>
          <w:rFonts w:ascii="Arial" w:eastAsia="Calibri" w:hAnsi="Arial" w:cs="Arial"/>
          <w:lang w:val="es-PE"/>
        </w:rPr>
        <w:t>Mayo</w:t>
      </w:r>
      <w:r w:rsidRPr="00423219">
        <w:rPr>
          <w:rFonts w:ascii="Arial" w:eastAsia="Calibri" w:hAnsi="Arial" w:cs="Arial"/>
          <w:lang w:val="es-PE"/>
        </w:rPr>
        <w:t xml:space="preserve"> del 202</w:t>
      </w:r>
      <w:r>
        <w:rPr>
          <w:rFonts w:ascii="Arial" w:eastAsia="Calibri" w:hAnsi="Arial" w:cs="Arial"/>
          <w:lang w:val="es-PE"/>
        </w:rPr>
        <w:t>6</w:t>
      </w:r>
      <w:r w:rsidRPr="00423219">
        <w:rPr>
          <w:rFonts w:ascii="Arial" w:eastAsia="Calibri" w:hAnsi="Arial" w:cs="Arial"/>
          <w:lang w:val="es-PE"/>
        </w:rPr>
        <w:t>.</w:t>
      </w:r>
    </w:p>
    <w:p w:rsidR="00093EEC" w:rsidRPr="007D744D" w:rsidRDefault="00093EEC" w:rsidP="00093EEC">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                                                                                 </w:t>
      </w:r>
      <w:r>
        <w:rPr>
          <w:rFonts w:ascii="Arial" w:eastAsia="Calibri" w:hAnsi="Arial" w:cs="Arial"/>
          <w:lang w:val="es-PE"/>
        </w:rPr>
        <w:t xml:space="preserve">                    Atentamente</w:t>
      </w:r>
    </w:p>
    <w:tbl>
      <w:tblPr>
        <w:tblStyle w:val="Tablaconcuadrcula"/>
        <w:tblW w:w="0" w:type="auto"/>
        <w:tblLook w:val="04A0" w:firstRow="1" w:lastRow="0" w:firstColumn="1" w:lastColumn="0" w:noHBand="0" w:noVBand="1"/>
      </w:tblPr>
      <w:tblGrid>
        <w:gridCol w:w="1271"/>
        <w:gridCol w:w="1134"/>
      </w:tblGrid>
      <w:tr w:rsidR="00093EEC" w:rsidTr="005040CE">
        <w:tc>
          <w:tcPr>
            <w:tcW w:w="1271" w:type="dxa"/>
          </w:tcPr>
          <w:p w:rsidR="00093EEC" w:rsidRDefault="00093EEC" w:rsidP="005040CE">
            <w:pPr>
              <w:rPr>
                <w:lang w:val="es"/>
              </w:rPr>
            </w:pPr>
            <w:r>
              <w:rPr>
                <w:rFonts w:ascii="Arial" w:hAnsi="Arial" w:cs="Arial"/>
                <w:b/>
                <w:bCs/>
                <w:color w:val="006CA0"/>
                <w:sz w:val="20"/>
                <w:szCs w:val="20"/>
                <w:shd w:val="clear" w:color="auto" w:fill="99CCFF"/>
              </w:rPr>
              <w:t>Reg. Doc.</w:t>
            </w:r>
          </w:p>
        </w:tc>
        <w:tc>
          <w:tcPr>
            <w:tcW w:w="1134" w:type="dxa"/>
          </w:tcPr>
          <w:p w:rsidR="00093EEC" w:rsidRDefault="00093EEC" w:rsidP="005040CE">
            <w:pPr>
              <w:rPr>
                <w:lang w:val="es"/>
              </w:rPr>
            </w:pPr>
          </w:p>
        </w:tc>
      </w:tr>
      <w:tr w:rsidR="00093EEC" w:rsidTr="005040CE">
        <w:tc>
          <w:tcPr>
            <w:tcW w:w="1271" w:type="dxa"/>
          </w:tcPr>
          <w:p w:rsidR="00093EEC" w:rsidRDefault="00093EEC" w:rsidP="005040CE">
            <w:pPr>
              <w:rPr>
                <w:lang w:val="es"/>
              </w:rPr>
            </w:pPr>
            <w:r>
              <w:rPr>
                <w:rFonts w:ascii="Arial" w:hAnsi="Arial" w:cs="Arial"/>
                <w:b/>
                <w:bCs/>
                <w:color w:val="006CA0"/>
                <w:sz w:val="20"/>
                <w:szCs w:val="20"/>
                <w:shd w:val="clear" w:color="auto" w:fill="99CCFF"/>
              </w:rPr>
              <w:t>Reg. Exp.</w:t>
            </w:r>
          </w:p>
        </w:tc>
        <w:tc>
          <w:tcPr>
            <w:tcW w:w="1134" w:type="dxa"/>
          </w:tcPr>
          <w:p w:rsidR="00093EEC" w:rsidRDefault="00093EEC" w:rsidP="005040CE">
            <w:pPr>
              <w:rPr>
                <w:lang w:val="es"/>
              </w:rPr>
            </w:pPr>
          </w:p>
        </w:tc>
      </w:tr>
    </w:tbl>
    <w:p w:rsidR="00093EEC" w:rsidRPr="002F7553" w:rsidRDefault="00093EEC" w:rsidP="00093EEC">
      <w:pPr>
        <w:rPr>
          <w:lang w:val="es"/>
        </w:rPr>
      </w:pPr>
    </w:p>
    <w:p w:rsidR="00093EEC" w:rsidRDefault="00093EEC" w:rsidP="00093EEC">
      <w:r>
        <w:rPr>
          <w:rFonts w:ascii="Arial" w:hAnsi="Arial" w:cs="Arial"/>
          <w:b/>
          <w:bCs/>
          <w:color w:val="006CA0"/>
          <w:sz w:val="20"/>
          <w:szCs w:val="20"/>
        </w:rPr>
        <w:br/>
      </w:r>
      <w:r>
        <w:rPr>
          <w:rFonts w:ascii="Arial" w:hAnsi="Arial" w:cs="Arial"/>
          <w:b/>
          <w:bCs/>
          <w:color w:val="006CA0"/>
          <w:sz w:val="20"/>
          <w:szCs w:val="20"/>
        </w:rPr>
        <w:br/>
      </w:r>
    </w:p>
    <w:p w:rsidR="00093EEC" w:rsidRPr="00522F87" w:rsidRDefault="00093EEC" w:rsidP="00093EEC"/>
    <w:p w:rsidR="00093EEC" w:rsidRPr="002A636F" w:rsidRDefault="00093EEC" w:rsidP="00093EEC"/>
    <w:p w:rsidR="00093EEC" w:rsidRDefault="00093EEC" w:rsidP="00093EEC"/>
    <w:p w:rsidR="00A241D0" w:rsidRDefault="007E1530"/>
    <w:sectPr w:rsidR="00A241D0">
      <w:headerReference w:type="default" r:id="rId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B9F" w:rsidRDefault="007E1530">
    <w:pPr>
      <w:pStyle w:val="Encabezado"/>
    </w:pPr>
    <w:r>
      <w:rPr>
        <w:noProof/>
        <w:lang w:val="en-US"/>
      </w:rPr>
      <mc:AlternateContent>
        <mc:Choice Requires="wps">
          <w:drawing>
            <wp:anchor distT="0" distB="0" distL="114300" distR="114300" simplePos="0" relativeHeight="251662336" behindDoc="0" locked="0" layoutInCell="1" allowOverlap="1" wp14:anchorId="63F5C264" wp14:editId="662F62D3">
              <wp:simplePos x="0" y="0"/>
              <wp:positionH relativeFrom="column">
                <wp:posOffset>1581150</wp:posOffset>
              </wp:positionH>
              <wp:positionV relativeFrom="paragraph">
                <wp:posOffset>256540</wp:posOffset>
              </wp:positionV>
              <wp:extent cx="2668270" cy="494865"/>
              <wp:effectExtent l="0" t="0" r="0" b="0"/>
              <wp:wrapNone/>
              <wp:docPr id="2" name="Rectángulo 2">
                <a:extLst xmlns:a="http://schemas.openxmlformats.org/drawingml/2006/main">
                  <a:ext uri="{FF2B5EF4-FFF2-40B4-BE49-F238E27FC236}">
                    <a16:creationId xmlns:a16="http://schemas.microsoft.com/office/drawing/2014/main" id="{B4D4EF8B-BD46-4DEF-88FC-B3B5CE625262}"/>
                  </a:ext>
                </a:extLst>
              </wp:docPr>
              <wp:cNvGraphicFramePr/>
              <a:graphic xmlns:a="http://schemas.openxmlformats.org/drawingml/2006/main">
                <a:graphicData uri="http://schemas.microsoft.com/office/word/2010/wordprocessingShape">
                  <wps:wsp>
                    <wps:cNvSpPr/>
                    <wps:spPr>
                      <a:xfrm>
                        <a:off x="0" y="0"/>
                        <a:ext cx="2668270" cy="494865"/>
                      </a:xfrm>
                      <a:prstGeom prst="rect">
                        <a:avLst/>
                      </a:prstGeom>
                      <a:noFill/>
                    </wps:spPr>
                    <wps:txbx>
                      <w:txbxContent>
                        <w:p w:rsidR="00C41B9F" w:rsidRDefault="007E1530"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rsidR="00C41B9F" w:rsidRPr="005233DB" w:rsidRDefault="007E1530" w:rsidP="00C41B9F">
                          <w:pPr>
                            <w:spacing w:after="0" w:line="240" w:lineRule="auto"/>
                            <w:jc w:val="center"/>
                            <w:rPr>
                              <w:rFonts w:ascii="Bahnschrift Condensed" w:hAnsi="Bahnschrift Condensed"/>
                              <w:b/>
                              <w:bCs/>
                              <w:color w:val="005AB8"/>
                              <w:kern w:val="24"/>
                              <w:sz w:val="16"/>
                              <w:szCs w:val="16"/>
                            </w:rPr>
                          </w:pPr>
                        </w:p>
                        <w:p w:rsidR="00C41B9F" w:rsidRPr="00422C35" w:rsidRDefault="007E1530" w:rsidP="00C41B9F">
                          <w:pPr>
                            <w:spacing w:after="0" w:line="240" w:lineRule="auto"/>
                            <w:jc w:val="center"/>
                            <w:rPr>
                              <w:rFonts w:ascii="Bahnschrift Condensed" w:hAnsi="Bahnschrift Condensed"/>
                              <w:b/>
                              <w:bCs/>
                              <w:color w:val="005AB8"/>
                              <w:kern w:val="24"/>
                              <w:sz w:val="16"/>
                              <w:szCs w:val="16"/>
                            </w:rPr>
                          </w:pPr>
                        </w:p>
                      </w:txbxContent>
                    </wps:txbx>
                    <wps:bodyPr wrap="square" lIns="91440" tIns="45720" rIns="91440" bIns="45720">
                      <a:noAutofit/>
                    </wps:bodyPr>
                  </wps:wsp>
                </a:graphicData>
              </a:graphic>
            </wp:anchor>
          </w:drawing>
        </mc:Choice>
        <mc:Fallback>
          <w:pict>
            <v:rect w14:anchorId="63F5C264" id="Rectángulo 2" o:spid="_x0000_s1026" style="position:absolute;margin-left:124.5pt;margin-top:20.2pt;width:210.1pt;height:38.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" filled="f" stroked="f">
              <v:textbox>
                <w:txbxContent>
                  <w:p w:rsidR="00C41B9F" w:rsidRDefault="007E1530"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rsidR="00C41B9F" w:rsidRPr="005233DB" w:rsidRDefault="007E1530" w:rsidP="00C41B9F">
                    <w:pPr>
                      <w:spacing w:after="0" w:line="240" w:lineRule="auto"/>
                      <w:jc w:val="center"/>
                      <w:rPr>
                        <w:rFonts w:ascii="Bahnschrift Condensed" w:hAnsi="Bahnschrift Condensed"/>
                        <w:b/>
                        <w:bCs/>
                        <w:color w:val="005AB8"/>
                        <w:kern w:val="24"/>
                        <w:sz w:val="16"/>
                        <w:szCs w:val="16"/>
                      </w:rPr>
                    </w:pPr>
                  </w:p>
                  <w:p w:rsidR="00C41B9F" w:rsidRPr="00422C35" w:rsidRDefault="007E1530" w:rsidP="00C41B9F">
                    <w:pPr>
                      <w:spacing w:after="0" w:line="240" w:lineRule="auto"/>
                      <w:jc w:val="center"/>
                      <w:rPr>
                        <w:rFonts w:ascii="Bahnschrift Condensed" w:hAnsi="Bahnschrift Condensed"/>
                        <w:b/>
                        <w:bCs/>
                        <w:color w:val="005AB8"/>
                        <w:kern w:val="24"/>
                        <w:sz w:val="16"/>
                        <w:szCs w:val="16"/>
                      </w:rPr>
                    </w:pPr>
                  </w:p>
                </w:txbxContent>
              </v:textbox>
            </v:rect>
          </w:pict>
        </mc:Fallback>
      </mc:AlternateContent>
    </w:r>
    <w:r w:rsidRPr="00F27CA2">
      <w:rPr>
        <w:noProof/>
        <w:lang w:val="en-US"/>
      </w:rPr>
      <w:drawing>
        <wp:anchor distT="0" distB="0" distL="114300" distR="114300" simplePos="0" relativeHeight="251661312" behindDoc="1" locked="0" layoutInCell="1" allowOverlap="1" wp14:anchorId="42EF1317" wp14:editId="68BC3C69">
          <wp:simplePos x="0" y="0"/>
          <wp:positionH relativeFrom="column">
            <wp:posOffset>0</wp:posOffset>
          </wp:positionH>
          <wp:positionV relativeFrom="paragraph">
            <wp:posOffset>-635</wp:posOffset>
          </wp:positionV>
          <wp:extent cx="1485900" cy="3619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r="47546"/>
                  <a:stretch>
                    <a:fillRect/>
                  </a:stretch>
                </pic:blipFill>
                <pic:spPr bwMode="auto">
                  <a:xfrm>
                    <a:off x="0" y="0"/>
                    <a:ext cx="14859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186666EE" wp14:editId="2B8789AF">
          <wp:simplePos x="0" y="0"/>
          <wp:positionH relativeFrom="column">
            <wp:posOffset>2114550</wp:posOffset>
          </wp:positionH>
          <wp:positionV relativeFrom="paragraph">
            <wp:posOffset>-178435</wp:posOffset>
          </wp:positionV>
          <wp:extent cx="1209358" cy="620731"/>
          <wp:effectExtent l="0" t="0" r="0" b="0"/>
          <wp:wrapNone/>
          <wp:docPr id="3" name="Imagen 3" descr="Hospital de Pampas Tayacaja">
            <a:extLst xmlns:a="http://schemas.openxmlformats.org/drawingml/2006/main">
              <a:ext uri="{FF2B5EF4-FFF2-40B4-BE49-F238E27FC236}">
                <a16:creationId xmlns:a16="http://schemas.microsoft.com/office/drawing/2014/main" id="{FA756D51-2FBE-4847-82F8-BB1AE8545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ospital de Pampas Tayacaja">
                    <a:extLst>
                      <a:ext uri="{FF2B5EF4-FFF2-40B4-BE49-F238E27FC236}">
                        <a16:creationId xmlns:a16="http://schemas.microsoft.com/office/drawing/2014/main" id="{FA756D51-2FBE-4847-82F8-BB1AE85450E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0270"/>
                  <a:stretch/>
                </pic:blipFill>
                <pic:spPr bwMode="auto">
                  <a:xfrm>
                    <a:off x="0" y="0"/>
                    <a:ext cx="1209358" cy="620731"/>
                  </a:xfrm>
                  <a:prstGeom prst="rect">
                    <a:avLst/>
                  </a:prstGeom>
                  <a:noFill/>
                  <a:ln>
                    <a:noFill/>
                  </a:ln>
                  <a:extLst>
                    <a:ext uri="{53640926-AAD7-44D8-BBD7-CCE9431645EC}">
                      <a14:shadowObscured xmlns:a14="http://schemas.microsoft.com/office/drawing/2010/main"/>
                    </a:ext>
                  </a:extLst>
                </pic:spPr>
              </pic:pic>
            </a:graphicData>
          </a:graphic>
        </wp:anchor>
      </w:drawing>
    </w:r>
    <w:r w:rsidRPr="00F27CA2">
      <w:rPr>
        <w:noProof/>
        <w:lang w:val="en-US"/>
      </w:rPr>
      <w:drawing>
        <wp:anchor distT="0" distB="0" distL="114300" distR="114300" simplePos="0" relativeHeight="251659264" behindDoc="0" locked="0" layoutInCell="1" allowOverlap="1" wp14:anchorId="09B9D485" wp14:editId="391AB2E8">
          <wp:simplePos x="0" y="0"/>
          <wp:positionH relativeFrom="margin">
            <wp:posOffset>4930139</wp:posOffset>
          </wp:positionH>
          <wp:positionV relativeFrom="paragraph">
            <wp:posOffset>-245039</wp:posOffset>
          </wp:positionV>
          <wp:extent cx="761365" cy="681284"/>
          <wp:effectExtent l="0" t="0" r="635" b="5080"/>
          <wp:wrapNone/>
          <wp:docPr id="22" name="Imagen 4">
            <a:extLst xmlns:a="http://schemas.openxmlformats.org/drawingml/2006/main">
              <a:ext uri="{FF2B5EF4-FFF2-40B4-BE49-F238E27FC236}">
                <a16:creationId xmlns:a16="http://schemas.microsoft.com/office/drawing/2014/main" id="{D9F3CC1B-F955-4CF0-B6B3-0BFBD07BD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9F3CC1B-F955-4CF0-B6B3-0BFBD07BD32D}"/>
                      </a:ext>
                    </a:extLst>
                  </pic:cNvPr>
                  <pic:cNvPicPr>
                    <a:picLocks noChangeAspect="1"/>
                  </pic:cNvPicPr>
                </pic:nvPicPr>
                <pic:blipFill rotWithShape="1">
                  <a:blip r:embed="rId3">
                    <a:extLst>
                      <a:ext uri="{BEBA8EAE-BF5A-486C-A8C5-ECC9F3942E4B}">
                        <a14:imgProps xmlns:a14="http://schemas.microsoft.com/office/drawing/2010/main">
                          <a14:imgLayer r:embed="rId4">
                            <a14:imgEffect>
                              <a14:backgroundRemoval t="10000" b="90000" l="10000" r="90000">
                                <a14:foregroundMark x1="49707" y1="13037" x2="48633" y2="20020"/>
                                <a14:foregroundMark x1="48633" y1="20020" x2="39160" y2="30811"/>
                                <a14:foregroundMark x1="39160" y1="30811" x2="36621" y2="38037"/>
                                <a14:foregroundMark x1="36621" y1="38037" x2="36377" y2="38330"/>
                                <a14:foregroundMark x1="21680" y1="57520" x2="21680" y2="57520"/>
                                <a14:foregroundMark x1="13525" y1="64014" x2="13477" y2="66455"/>
                                <a14:foregroundMark x1="21094" y1="64453" x2="21191" y2="67090"/>
                                <a14:foregroundMark x1="30078" y1="64600" x2="30566" y2="66064"/>
                                <a14:foregroundMark x1="35254" y1="64746" x2="37061" y2="66113"/>
                                <a14:foregroundMark x1="41895" y1="66113" x2="41895" y2="67725"/>
                                <a14:foregroundMark x1="51270" y1="65137" x2="51855" y2="66455"/>
                                <a14:foregroundMark x1="54932" y1="65186" x2="55566" y2="66406"/>
                                <a14:foregroundMark x1="61670" y1="63818" x2="61719" y2="65479"/>
                                <a14:foregroundMark x1="68262" y1="64258" x2="67969" y2="66162"/>
                                <a14:foregroundMark x1="73730" y1="64941" x2="73975" y2="66260"/>
                                <a14:foregroundMark x1="76465" y1="65576" x2="76465" y2="65576"/>
                                <a14:foregroundMark x1="86133" y1="66943" x2="86133" y2="66943"/>
                                <a14:foregroundMark x1="17285" y1="71875" x2="17285" y2="71875"/>
                                <a14:foregroundMark x1="13037" y1="75098" x2="13037" y2="76025"/>
                                <a14:foregroundMark x1="16943" y1="75439" x2="16992" y2="76025"/>
                                <a14:foregroundMark x1="18604" y1="75537" x2="18604" y2="75635"/>
                                <a14:foregroundMark x1="22070" y1="75537" x2="22070" y2="75977"/>
                                <a14:foregroundMark x1="24365" y1="75781" x2="24365" y2="76123"/>
                                <a14:foregroundMark x1="27588" y1="76074" x2="27588" y2="76074"/>
                                <a14:foregroundMark x1="31201" y1="75391" x2="31201" y2="75781"/>
                                <a14:foregroundMark x1="32715" y1="75830" x2="32715" y2="75830"/>
                                <a14:foregroundMark x1="34277" y1="73975" x2="34277" y2="73975"/>
                                <a14:foregroundMark x1="37354" y1="75977" x2="37354" y2="75977"/>
                                <a14:foregroundMark x1="41602" y1="75830" x2="41602" y2="75830"/>
                                <a14:foregroundMark x1="44873" y1="75684" x2="44873" y2="75684"/>
                                <a14:foregroundMark x1="47266" y1="76270" x2="47266" y2="76270"/>
                                <a14:foregroundMark x1="51221" y1="75879" x2="51221" y2="75879"/>
                                <a14:foregroundMark x1="52588" y1="75977" x2="52588" y2="75977"/>
                                <a14:foregroundMark x1="57813" y1="76270" x2="57813" y2="76270"/>
                                <a14:foregroundMark x1="61475" y1="76367" x2="61475" y2="76367"/>
                                <a14:foregroundMark x1="63525" y1="76025" x2="63525" y2="76025"/>
                                <a14:foregroundMark x1="67383" y1="76025" x2="67383" y2="76025"/>
                                <a14:foregroundMark x1="70947" y1="75684" x2="70947" y2="75684"/>
                                <a14:foregroundMark x1="74463" y1="75781" x2="74463" y2="75781"/>
                                <a14:foregroundMark x1="77979" y1="75879" x2="77979" y2="75879"/>
                                <a14:foregroundMark x1="80078" y1="76270" x2="80078" y2="76270"/>
                                <a14:foregroundMark x1="82520" y1="75732" x2="82520" y2="75732"/>
                                <a14:foregroundMark x1="86084" y1="75830" x2="86084" y2="75830"/>
                                <a14:foregroundMark x1="87988" y1="71924" x2="87988" y2="71924"/>
                                <a14:foregroundMark x1="80811" y1="71924" x2="80811" y2="71924"/>
                                <a14:foregroundMark x1="82275" y1="71924" x2="82275" y2="71924"/>
                                <a14:foregroundMark x1="60205" y1="71924" x2="60742" y2="71924"/>
                                <a14:foregroundMark x1="66748" y1="72021" x2="68066" y2="71973"/>
                                <a14:foregroundMark x1="75098" y1="72070" x2="76758" y2="71924"/>
                                <a14:foregroundMark x1="61475" y1="23877" x2="57764" y2="34082"/>
                                <a14:foregroundMark x1="49805" y1="39795" x2="45947" y2="50000"/>
                                <a14:foregroundMark x1="45947" y1="50000" x2="48340" y2="43018"/>
                                <a14:foregroundMark x1="48340" y1="43018" x2="48682" y2="42773"/>
                                <a14:foregroundMark x1="44238" y1="44824" x2="45605" y2="31348"/>
                                <a14:foregroundMark x1="45605" y1="31348" x2="50293" y2="24902"/>
                                <a14:foregroundMark x1="50293" y1="24902" x2="58789" y2="21875"/>
                                <a14:foregroundMark x1="58789" y1="21875" x2="58838" y2="30908"/>
                                <a14:foregroundMark x1="58838" y1="30908" x2="45752" y2="39795"/>
                                <a14:foregroundMark x1="45752" y1="30371" x2="49316" y2="36670"/>
                                <a14:foregroundMark x1="49316" y1="36670" x2="55127" y2="28174"/>
                                <a14:foregroundMark x1="55127" y1="28174" x2="52979" y2="35059"/>
                                <a14:foregroundMark x1="52979" y1="35059" x2="56104" y2="36865"/>
                                <a14:foregroundMark x1="62939" y1="27051" x2="63330" y2="29639"/>
                                <a14:foregroundMark x1="41504" y1="42041" x2="41650" y2="44092"/>
                                <a14:foregroundMark x1="22852" y1="58789" x2="22852" y2="58789"/>
                                <a14:foregroundMark x1="27051" y1="58594" x2="27051" y2="58594"/>
                                <a14:foregroundMark x1="30664" y1="58447" x2="30664" y2="58447"/>
                                <a14:foregroundMark x1="32324" y1="58740" x2="32324" y2="58740"/>
                                <a14:foregroundMark x1="35742" y1="58740" x2="35742" y2="58740"/>
                                <a14:foregroundMark x1="40137" y1="58545" x2="40137" y2="58545"/>
                                <a14:foregroundMark x1="42773" y1="58984" x2="42773" y2="58984"/>
                                <a14:foregroundMark x1="48242" y1="58496" x2="48242" y2="58496"/>
                                <a14:foregroundMark x1="52100" y1="58105" x2="52100" y2="58105"/>
                                <a14:foregroundMark x1="54785" y1="58740" x2="54785" y2="58740"/>
                                <a14:foregroundMark x1="58887" y1="58789" x2="58887" y2="58789"/>
                                <a14:foregroundMark x1="60205" y1="58789" x2="60205" y2="58789"/>
                                <a14:foregroundMark x1="60303" y1="58936" x2="60303" y2="58936"/>
                                <a14:foregroundMark x1="65723" y1="58789" x2="65723" y2="58789"/>
                                <a14:foregroundMark x1="65771" y1="59082" x2="65771" y2="59082"/>
                                <a14:foregroundMark x1="70068" y1="59082" x2="70068" y2="59082"/>
                                <a14:foregroundMark x1="72021" y1="58447" x2="72021" y2="58447"/>
                                <a14:foregroundMark x1="75977" y1="58691" x2="75977" y2="58691"/>
                                <a14:foregroundMark x1="79980" y1="58740" x2="79980" y2="58740"/>
                                <a14:foregroundMark x1="18262" y1="72021" x2="21191" y2="72021"/>
                                <a14:foregroundMark x1="21680" y1="71924" x2="23389" y2="72021"/>
                                <a14:foregroundMark x1="32324" y1="72070" x2="30615" y2="72070"/>
                                <a14:foregroundMark x1="30322" y1="71973" x2="28516" y2="71924"/>
                                <a14:foregroundMark x1="77441" y1="71973" x2="79785" y2="71973"/>
                                <a14:backgroundMark x1="15576" y1="68555" x2="15674" y2="70117"/>
                                <a14:backgroundMark x1="29443" y1="66406" x2="29443" y2="66406"/>
                                <a14:backgroundMark x1="50488" y1="66406" x2="50488" y2="66406"/>
                                <a14:backgroundMark x1="85156" y1="65967" x2="85156" y2="65967"/>
                                <a14:backgroundMark x1="16064" y1="73877" x2="16064" y2="73877"/>
                                <a14:backgroundMark x1="14258" y1="75781" x2="14258" y2="75781"/>
                                <a14:backgroundMark x1="19531" y1="75537" x2="19531" y2="75537"/>
                                <a14:backgroundMark x1="19434" y1="77100" x2="19434" y2="77100"/>
                                <a14:backgroundMark x1="22852" y1="76807" x2="22852" y2="76807"/>
                                <a14:backgroundMark x1="34229" y1="76025" x2="34229" y2="76025"/>
                                <a14:backgroundMark x1="37256" y1="76855" x2="37256" y2="76855"/>
                                <a14:backgroundMark x1="42432" y1="75635" x2="42432" y2="75635"/>
                                <a14:backgroundMark x1="42236" y1="77100" x2="42236" y2="77100"/>
                                <a14:backgroundMark x1="53906" y1="76123" x2="53906" y2="76123"/>
                                <a14:backgroundMark x1="60742" y1="76221" x2="60742" y2="76221"/>
                                <a14:backgroundMark x1="68701" y1="75928" x2="68701" y2="75928"/>
                                <a14:backgroundMark x1="87207" y1="76465" x2="87207" y2="76465"/>
                                <a14:backgroundMark x1="77344" y1="76221" x2="77344" y2="76221"/>
                                <a14:backgroundMark x1="77588" y1="77100" x2="77588" y2="77100"/>
                                <a14:backgroundMark x1="80957" y1="57959" x2="80957" y2="57959"/>
                                <a14:backgroundMark x1="77393" y1="58838" x2="77393" y2="58838"/>
                                <a14:backgroundMark x1="69189" y1="58691" x2="69189" y2="58691"/>
                                <a14:backgroundMark x1="66211" y1="58301" x2="66211" y2="58301"/>
                                <a14:backgroundMark x1="64844" y1="58691" x2="64844" y2="58691"/>
                                <a14:backgroundMark x1="61963" y1="59375" x2="61963" y2="59375"/>
                                <a14:backgroundMark x1="44824" y1="58887" x2="44824" y2="58887"/>
                                <a14:backgroundMark x1="49268" y1="58301" x2="49268" y2="58301"/>
                                <a14:backgroundMark x1="24512" y1="58594" x2="24512" y2="58594"/>
                                <a14:backgroundMark x1="28223" y1="58105" x2="28223" y2="58105"/>
                                <a14:backgroundMark x1="28223" y1="59473" x2="28223" y2="59473"/>
                                <a14:backgroundMark x1="36523" y1="58301" x2="36523" y2="58301"/>
                              </a14:backgroundRemoval>
                            </a14:imgEffect>
                          </a14:imgLayer>
                        </a14:imgProps>
                      </a:ext>
                      <a:ext uri="{28A0092B-C50C-407E-A947-70E740481C1C}">
                        <a14:useLocalDpi xmlns:a14="http://schemas.microsoft.com/office/drawing/2010/main" val="0"/>
                      </a:ext>
                    </a:extLst>
                  </a:blip>
                  <a:srcRect l="11481" t="10370" r="11297" b="20556"/>
                  <a:stretch/>
                </pic:blipFill>
                <pic:spPr>
                  <a:xfrm>
                    <a:off x="0" y="0"/>
                    <a:ext cx="772540" cy="691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E50278"/>
    <w:multiLevelType w:val="hybridMultilevel"/>
    <w:tmpl w:val="99D656A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EEC"/>
    <w:rsid w:val="00093EEC"/>
    <w:rsid w:val="002674AA"/>
    <w:rsid w:val="0058395B"/>
    <w:rsid w:val="005C7D43"/>
    <w:rsid w:val="007E1530"/>
    <w:rsid w:val="00F6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81770"/>
  <w15:chartTrackingRefBased/>
  <w15:docId w15:val="{84BED987-5784-4BD2-80F0-B1AED0B25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EEC"/>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93EE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3EE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093E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3EEC"/>
    <w:rPr>
      <w:lang w:val="es-ES"/>
    </w:rPr>
  </w:style>
  <w:style w:type="paragraph" w:styleId="Prrafodelista">
    <w:name w:val="List Paragraph"/>
    <w:basedOn w:val="Normal"/>
    <w:uiPriority w:val="34"/>
    <w:qFormat/>
    <w:rsid w:val="00093EEC"/>
    <w:pPr>
      <w:spacing w:after="0" w:line="240" w:lineRule="auto"/>
      <w:ind w:left="720"/>
      <w:contextualSpacing/>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2184</Words>
  <Characters>12451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EMERGENCIAS</dc:creator>
  <cp:keywords/>
  <dc:description/>
  <cp:lastModifiedBy>EMERGENCIAS</cp:lastModifiedBy>
  <cp:revision>2</cp:revision>
  <dcterms:created xsi:type="dcterms:W3CDTF">2026-05-21T21:19:00Z</dcterms:created>
  <dcterms:modified xsi:type="dcterms:W3CDTF">2026-05-21T21:21:00Z</dcterms:modified>
</cp:coreProperties>
</file>