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66" w:rsidRDefault="00D70166" w:rsidP="00D70166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RESOLUCIÓN DIRECTORAL</w:t>
      </w:r>
    </w:p>
    <w:p w:rsidR="00D70166" w:rsidRDefault="00D70166" w:rsidP="00D70166">
      <w:pPr>
        <w:pStyle w:val="Encabezado"/>
        <w:tabs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 xml:space="preserve">N° </w:t>
      </w:r>
      <w:r w:rsidR="003D0985">
        <w:rPr>
          <w:rFonts w:ascii="Aparajita" w:hAnsi="Aparajita" w:cs="Aparajita"/>
          <w:b/>
          <w:i/>
          <w:sz w:val="34"/>
          <w:szCs w:val="34"/>
          <w:lang w:val="es-ES"/>
        </w:rPr>
        <w:t>.0250</w:t>
      </w:r>
      <w:r>
        <w:rPr>
          <w:rFonts w:ascii="Aparajita" w:hAnsi="Aparajita" w:cs="Aparajita"/>
          <w:b/>
          <w:i/>
          <w:sz w:val="34"/>
          <w:szCs w:val="34"/>
        </w:rPr>
        <w:t>-202</w:t>
      </w:r>
      <w:r>
        <w:rPr>
          <w:rFonts w:ascii="Aparajita" w:hAnsi="Aparajita" w:cs="Aparajita"/>
          <w:b/>
          <w:i/>
          <w:sz w:val="34"/>
          <w:szCs w:val="34"/>
          <w:lang w:val="es-ES"/>
        </w:rPr>
        <w:t>3</w:t>
      </w:r>
      <w:r>
        <w:rPr>
          <w:rFonts w:ascii="Aparajita" w:hAnsi="Aparajita" w:cs="Aparajita"/>
          <w:b/>
          <w:i/>
          <w:sz w:val="34"/>
          <w:szCs w:val="34"/>
        </w:rPr>
        <w:t>/GOB.REG-HVCA/DIRESA-HPT-D</w:t>
      </w:r>
    </w:p>
    <w:p w:rsidR="00D70166" w:rsidRDefault="00D70166" w:rsidP="00D70166">
      <w:pPr>
        <w:spacing w:after="0" w:line="240" w:lineRule="auto"/>
        <w:jc w:val="right"/>
        <w:rPr>
          <w:rFonts w:ascii="Century Gothic" w:eastAsia="Batang" w:hAnsi="Century Gothic" w:cs="Aparajita"/>
          <w:b/>
          <w:i/>
          <w:color w:val="000000" w:themeColor="text1"/>
          <w:sz w:val="20"/>
          <w:szCs w:val="20"/>
          <w:lang w:eastAsia="es-ES"/>
        </w:rPr>
      </w:pPr>
    </w:p>
    <w:p w:rsidR="00D70166" w:rsidRPr="009400D3" w:rsidRDefault="00D70166" w:rsidP="00D70166">
      <w:pPr>
        <w:spacing w:after="0" w:line="240" w:lineRule="auto"/>
        <w:ind w:firstLine="5529"/>
        <w:rPr>
          <w:rFonts w:ascii="Century Gothic" w:eastAsia="Batang" w:hAnsi="Century Gothic" w:cs="Aparajita"/>
          <w:b/>
          <w:i/>
          <w:color w:val="000000" w:themeColor="text1"/>
          <w:szCs w:val="20"/>
          <w:lang w:val="es-ES" w:eastAsia="es-ES"/>
        </w:rPr>
      </w:pPr>
      <w:r>
        <w:rPr>
          <w:rFonts w:ascii="Century Gothic" w:eastAsia="Batang" w:hAnsi="Century Gothic" w:cs="Aparajita"/>
          <w:b/>
          <w:i/>
          <w:color w:val="000000" w:themeColor="text1"/>
          <w:szCs w:val="20"/>
          <w:lang w:val="zh-CN" w:eastAsia="es-ES"/>
        </w:rPr>
        <w:t>Pampas,</w:t>
      </w:r>
      <w:r>
        <w:rPr>
          <w:rFonts w:ascii="Century Gothic" w:eastAsia="Batang" w:hAnsi="Century Gothic" w:cs="Aparajita"/>
          <w:b/>
          <w:i/>
          <w:color w:val="000000" w:themeColor="text1"/>
          <w:szCs w:val="20"/>
          <w:lang w:eastAsia="es-ES"/>
        </w:rPr>
        <w:t xml:space="preserve"> </w:t>
      </w:r>
      <w:r w:rsidR="0063147D">
        <w:rPr>
          <w:rFonts w:ascii="Century Gothic" w:eastAsia="Batang" w:hAnsi="Century Gothic" w:cs="Aparajita"/>
          <w:b/>
          <w:i/>
          <w:color w:val="000000" w:themeColor="text1"/>
          <w:szCs w:val="20"/>
          <w:lang w:val="es-ES" w:eastAsia="es-ES"/>
        </w:rPr>
        <w:t>2</w:t>
      </w:r>
      <w:r w:rsidR="003652C7">
        <w:rPr>
          <w:rFonts w:ascii="Century Gothic" w:eastAsia="Batang" w:hAnsi="Century Gothic" w:cs="Aparajita"/>
          <w:b/>
          <w:i/>
          <w:color w:val="000000" w:themeColor="text1"/>
          <w:szCs w:val="20"/>
          <w:lang w:val="es-ES" w:eastAsia="es-ES"/>
        </w:rPr>
        <w:t>4</w:t>
      </w:r>
      <w:r w:rsidR="00D17D32">
        <w:rPr>
          <w:rFonts w:ascii="Century Gothic" w:eastAsia="Batang" w:hAnsi="Century Gothic" w:cs="Aparajita"/>
          <w:b/>
          <w:i/>
          <w:color w:val="000000" w:themeColor="text1"/>
          <w:szCs w:val="20"/>
          <w:lang w:val="es-ES" w:eastAsia="es-ES"/>
        </w:rPr>
        <w:t xml:space="preserve"> de </w:t>
      </w:r>
      <w:r w:rsidR="0063147D">
        <w:rPr>
          <w:rFonts w:ascii="Century Gothic" w:eastAsia="Batang" w:hAnsi="Century Gothic" w:cs="Aparajita"/>
          <w:b/>
          <w:i/>
          <w:color w:val="000000" w:themeColor="text1"/>
          <w:szCs w:val="20"/>
          <w:lang w:val="es-ES" w:eastAsia="es-ES"/>
        </w:rPr>
        <w:t>abril</w:t>
      </w:r>
      <w:r w:rsidRPr="009400D3">
        <w:rPr>
          <w:rFonts w:ascii="Century Gothic" w:eastAsia="Batang" w:hAnsi="Century Gothic" w:cs="Aparajita"/>
          <w:b/>
          <w:i/>
          <w:color w:val="000000" w:themeColor="text1"/>
          <w:szCs w:val="20"/>
          <w:lang w:val="es-ES" w:eastAsia="es-ES"/>
        </w:rPr>
        <w:t xml:space="preserve"> </w:t>
      </w:r>
      <w:r>
        <w:rPr>
          <w:rFonts w:ascii="Century Gothic" w:eastAsia="Batang" w:hAnsi="Century Gothic" w:cs="Aparajita"/>
          <w:b/>
          <w:i/>
          <w:color w:val="000000" w:themeColor="text1"/>
          <w:szCs w:val="20"/>
          <w:lang w:eastAsia="es-ES"/>
        </w:rPr>
        <w:t>del 202</w:t>
      </w:r>
      <w:r w:rsidRPr="009400D3">
        <w:rPr>
          <w:rFonts w:ascii="Century Gothic" w:eastAsia="Batang" w:hAnsi="Century Gothic" w:cs="Aparajita"/>
          <w:b/>
          <w:i/>
          <w:color w:val="000000" w:themeColor="text1"/>
          <w:szCs w:val="20"/>
          <w:lang w:val="es-ES" w:eastAsia="es-ES"/>
        </w:rPr>
        <w:t>3</w:t>
      </w:r>
    </w:p>
    <w:p w:rsidR="00D70166" w:rsidRDefault="00D70166" w:rsidP="00D70166">
      <w:pPr>
        <w:spacing w:after="0" w:line="240" w:lineRule="auto"/>
        <w:ind w:firstLine="709"/>
        <w:jc w:val="both"/>
        <w:rPr>
          <w:rFonts w:ascii="Century Gothic" w:hAnsi="Century Gothic" w:cs="Aparajita"/>
          <w:b/>
          <w:i/>
          <w:color w:val="000000" w:themeColor="text1"/>
          <w:sz w:val="20"/>
          <w:szCs w:val="20"/>
          <w:lang w:eastAsia="es-ES"/>
        </w:rPr>
      </w:pPr>
    </w:p>
    <w:p w:rsidR="00D70166" w:rsidRPr="00FB3340" w:rsidRDefault="00D70166" w:rsidP="00D70166">
      <w:pPr>
        <w:spacing w:after="0" w:line="240" w:lineRule="auto"/>
        <w:ind w:firstLine="709"/>
        <w:jc w:val="both"/>
        <w:rPr>
          <w:rFonts w:ascii="Century Gothic" w:hAnsi="Century Gothic" w:cs="Aparajita"/>
          <w:b/>
          <w:i/>
          <w:color w:val="000000" w:themeColor="text1"/>
          <w:lang w:eastAsia="es-ES"/>
        </w:rPr>
      </w:pPr>
      <w:r w:rsidRPr="00FB3340">
        <w:rPr>
          <w:rFonts w:ascii="Century Gothic" w:hAnsi="Century Gothic" w:cs="Aparajita"/>
          <w:b/>
          <w:i/>
          <w:color w:val="000000" w:themeColor="text1"/>
          <w:lang w:eastAsia="es-ES"/>
        </w:rPr>
        <w:t>VISTO:</w:t>
      </w:r>
    </w:p>
    <w:p w:rsidR="00D70166" w:rsidRPr="00FB3340" w:rsidRDefault="00D70166" w:rsidP="00D70166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 w:eastAsia="es-ES"/>
        </w:rPr>
      </w:pPr>
    </w:p>
    <w:p w:rsidR="00D70166" w:rsidRPr="00FB3340" w:rsidRDefault="0063147D" w:rsidP="00D70166">
      <w:pPr>
        <w:spacing w:after="0" w:line="240" w:lineRule="auto"/>
        <w:jc w:val="both"/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</w:pPr>
      <w:r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INFORME N° 003</w:t>
      </w:r>
      <w:r w:rsidR="00D70166"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-2023/GOB.REG-HVCA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/DIRESA-ESNI-UERST-H.P. de fecha 17</w:t>
      </w:r>
      <w:r w:rsidR="00D70166"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 xml:space="preserve"> de 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abril</w:t>
      </w:r>
      <w:r w:rsidR="00D70166"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 xml:space="preserve"> del 2023, la Dirección Ejecutiva ordena 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 xml:space="preserve">mediante un proveído </w:t>
      </w:r>
      <w:r w:rsidR="00D70166"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proyectar el Acto Resolutivo, aprobando</w:t>
      </w: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 xml:space="preserve"> 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 xml:space="preserve">EL PLAN ANUAL DE INMUNIZACIONES 2023 </w:t>
      </w:r>
      <w:r w:rsidR="00D70166"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 xml:space="preserve">DEL HOSPITAL DE PAMPAS 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TAYACAJA, y</w:t>
      </w:r>
      <w:r w:rsidR="00D70166"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;</w:t>
      </w:r>
      <w:r w:rsidR="00D70166"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 xml:space="preserve">  </w:t>
      </w:r>
    </w:p>
    <w:p w:rsidR="00D70166" w:rsidRPr="00FB3340" w:rsidRDefault="00D70166" w:rsidP="00D70166">
      <w:pPr>
        <w:spacing w:after="0" w:line="240" w:lineRule="auto"/>
        <w:jc w:val="both"/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</w:pPr>
    </w:p>
    <w:p w:rsidR="00D70166" w:rsidRPr="00FB3340" w:rsidRDefault="00D70166" w:rsidP="00D70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 w:eastAsia="es-ES"/>
        </w:rPr>
      </w:pP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>CONSIDERANDO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 w:eastAsia="es-ES"/>
        </w:rPr>
        <w:t>:</w:t>
      </w:r>
    </w:p>
    <w:p w:rsidR="00D70166" w:rsidRPr="00FB3340" w:rsidRDefault="00D70166" w:rsidP="00D70166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</w:p>
    <w:p w:rsidR="00FB3340" w:rsidRPr="00FB3340" w:rsidRDefault="00D70166" w:rsidP="00D70166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 xml:space="preserve">Que, los Gobiernos Regionales tienen autonomía política, económica y administrativa en asuntos de su competencia conforme al artículo 191° de la Constitución Política del Perú del Estado modificada por la ley N° 27680-ley de Reforma Constitucional del capítulo XIV del título VI sobre descentralización, concordante con el artículo 2° de la ley N° 27867- Ley orgánica de los Gobiernos Regionales, constituyendo para su administración económica y financiera. Un pliego presupuestal; </w:t>
      </w:r>
    </w:p>
    <w:p w:rsidR="00FB3340" w:rsidRPr="00FB3340" w:rsidRDefault="00FB3340" w:rsidP="00D70166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>Que, los numerales I, II y IV del Título Preliminar de la Ley N° 26842, Ley General de Salud, disponen que la salud es condición indispensable del desarrollo humano y medio fundamental para alcanzar el bienestar individual y colectivo, que la protección de la salud es de interés público, siendo responsabilidad del Estado regularla, vigilarla y promoverla, y que la salud pública es responsabilidad primaria del Estado;</w:t>
      </w:r>
    </w:p>
    <w:p w:rsidR="00FB3340" w:rsidRPr="00FB3340" w:rsidRDefault="00FB3340" w:rsidP="00D70166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>Que, mediante la Ley N° 28010, Ley General de Vacunas, se declaran las actividades de vacunación obligatorias para la Salud Pública Nacional por su elevado impacto en la prevención y control de las enfermedades prevenibles por vacunación;</w:t>
      </w:r>
    </w:p>
    <w:p w:rsidR="00FB3340" w:rsidRPr="00FB3340" w:rsidRDefault="00FB3340" w:rsidP="00D70166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>Que, el artículo 63 del Reglamento de Organización y Funciones del Ministerio de Salud, aprobado por Decreto Supremo N° 008-2017-SA, modificado por Decreto Supremo N° 011- 2017-SA, establece que la Dirección General de Intervenciones Estratégicas en Salud Pública es el órgano de línea del Ministerio de Salud, dependiente del Viceministerio de Salud Pública, competente para dirigir y coordinar las intervenciones estratégicas de salud pública en materia de inmunizaciones, entre otras; asimismo, según lo dispuesto en el literal b) del artículo 64 del mencionado Reglamento, la Dirección General de Intervenciones Estratégicas en Salud Pública tiene la función de proponer, evaluar y supervisar la implementación de políticas, normas, linchamientos y otros documentos normativos materia de intervenciones estratégicas en salud pública;</w:t>
      </w:r>
    </w:p>
    <w:p w:rsidR="00FB3340" w:rsidRPr="00FB3340" w:rsidRDefault="00FB3340" w:rsidP="00FB3340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>Que, por Resolución Ministerial N° 070-2011/MINSA, de fecha 28 de enero de 2011, se aprobó la NTS N° 080—MINSA/DGSP V.02 "Norma Técnica de Salud que establece el Esquema Nacional de Vacunación", cuyo objetivo es establecer un esquema y calendario ordenado de vacunación a nivel nacional, para facilitar las intervenciones de inmunizaciones, teniendo como finalidad contribuir a mejorar el nivel de salud de la población mediante el control de enfermedades inmunoprevenibles</w:t>
      </w:r>
      <w:r w:rsidRPr="00FB3340">
        <w:t>;</w:t>
      </w:r>
    </w:p>
    <w:p w:rsidR="00FB3340" w:rsidRPr="00FB3340" w:rsidRDefault="00FB3340" w:rsidP="00D70166">
      <w:pPr>
        <w:spacing w:after="0" w:line="240" w:lineRule="auto"/>
        <w:ind w:firstLine="720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</w:p>
    <w:p w:rsidR="00FB3340" w:rsidRPr="00FB3340" w:rsidRDefault="00FB3340" w:rsidP="00D70166">
      <w:pPr>
        <w:spacing w:after="0" w:line="240" w:lineRule="auto"/>
        <w:ind w:firstLine="720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</w:p>
    <w:p w:rsidR="00FB3340" w:rsidRPr="00FB3340" w:rsidRDefault="00FB3340" w:rsidP="00FB3340">
      <w:pPr>
        <w:spacing w:after="0" w:line="240" w:lineRule="auto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</w:p>
    <w:p w:rsidR="00D70166" w:rsidRPr="00FB3340" w:rsidRDefault="00D70166" w:rsidP="00D70166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</w:rPr>
      </w:pPr>
      <w:r w:rsidRPr="00FB3340">
        <w:rPr>
          <w:rFonts w:ascii="Century Gothic" w:eastAsia="Batang" w:hAnsi="Century Gothic" w:cs="Aparajita"/>
          <w:i/>
          <w:color w:val="000000" w:themeColor="text1"/>
        </w:rPr>
        <w:t>Que, mediante Resolución Gerencial General Regional N° 021-2023/GOB.REG-HVCA/GGR, se designó a partir del 06 de enero del 2023, a la</w:t>
      </w:r>
      <w:r w:rsidRPr="00FB3340">
        <w:rPr>
          <w:rFonts w:ascii="Century Gothic" w:eastAsia="Batang" w:hAnsi="Century Gothic" w:cs="Aparajita"/>
          <w:b/>
          <w:i/>
          <w:color w:val="000000" w:themeColor="text1"/>
        </w:rPr>
        <w:t xml:space="preserve"> C.D LOURDES ANALIA AYALA DIAZ</w:t>
      </w:r>
      <w:r w:rsidRPr="00FB3340">
        <w:rPr>
          <w:rFonts w:ascii="Century Gothic" w:eastAsia="Batang" w:hAnsi="Century Gothic" w:cs="Aparajita"/>
          <w:i/>
          <w:color w:val="000000" w:themeColor="text1"/>
        </w:rPr>
        <w:t>,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D70166" w:rsidRPr="00FB3340" w:rsidRDefault="00D70166" w:rsidP="00D70166">
      <w:pPr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 xml:space="preserve">Que, Estando informado y con las </w:t>
      </w:r>
      <w:proofErr w:type="spellStart"/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>visaciones</w:t>
      </w:r>
      <w:proofErr w:type="spellEnd"/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 xml:space="preserve"> de Dirección, jefe de la oficina de Administración, la unidad de Asesoría Jurídica, unidad de gestión de calidad, del Hospital de pampas; </w:t>
      </w:r>
    </w:p>
    <w:p w:rsidR="00D70166" w:rsidRPr="00FB3340" w:rsidRDefault="00D70166" w:rsidP="00D70166">
      <w:pPr>
        <w:tabs>
          <w:tab w:val="left" w:pos="0"/>
          <w:tab w:val="left" w:pos="851"/>
        </w:tabs>
        <w:spacing w:after="0" w:line="240" w:lineRule="auto"/>
        <w:jc w:val="both"/>
        <w:rPr>
          <w:rFonts w:ascii="Century Gothic" w:hAnsi="Century Gothic" w:cs="Aparajita"/>
          <w:b/>
          <w:i/>
          <w:color w:val="000000" w:themeColor="text1"/>
          <w:lang w:val="es-ES" w:eastAsia="es-ES"/>
        </w:rPr>
      </w:pPr>
    </w:p>
    <w:p w:rsidR="00D70166" w:rsidRPr="00FB3340" w:rsidRDefault="00D70166" w:rsidP="00D70166">
      <w:pPr>
        <w:spacing w:after="0" w:line="240" w:lineRule="auto"/>
        <w:jc w:val="both"/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</w:pP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ab/>
        <w:t>SE RESUELVE:</w:t>
      </w:r>
    </w:p>
    <w:p w:rsidR="00D70166" w:rsidRPr="00FB3340" w:rsidRDefault="00D70166" w:rsidP="00D70166">
      <w:pPr>
        <w:spacing w:after="0" w:line="240" w:lineRule="auto"/>
        <w:jc w:val="both"/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</w:pPr>
    </w:p>
    <w:p w:rsidR="00D70166" w:rsidRPr="008B10E2" w:rsidRDefault="00D70166" w:rsidP="00FB3340">
      <w:pPr>
        <w:spacing w:after="0" w:line="240" w:lineRule="auto"/>
        <w:jc w:val="both"/>
        <w:rPr>
          <w:rFonts w:ascii="Century Gothic" w:eastAsia="Batang" w:hAnsi="Century Gothic" w:cs="Aparajita"/>
          <w:i/>
          <w:color w:val="000000" w:themeColor="text1"/>
          <w:lang w:val="es-ES" w:eastAsia="es-ES"/>
        </w:rPr>
      </w:pP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ab/>
        <w:t xml:space="preserve">ARTICULO 1º APROBACIÓN, </w:t>
      </w:r>
      <w:r w:rsidR="00FB3340"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 xml:space="preserve">DEL PLAN ANUAL DE INMUNIZACIONES 2023 DEL HOSPITAL DE PAMPAS </w:t>
      </w:r>
      <w:r w:rsidR="008B10E2"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>TAYACAJA</w:t>
      </w:r>
      <w:r w:rsidR="008B10E2">
        <w:rPr>
          <w:rFonts w:eastAsia="Times New Roman"/>
          <w:b/>
          <w:bCs/>
          <w:lang w:eastAsia="es-PE"/>
        </w:rPr>
        <w:t xml:space="preserve">, </w:t>
      </w:r>
      <w:r w:rsidR="008B10E2" w:rsidRPr="008B10E2">
        <w:rPr>
          <w:rFonts w:ascii="Century Gothic" w:eastAsia="Batang" w:hAnsi="Century Gothic" w:cs="Aparajita"/>
          <w:i/>
          <w:color w:val="000000" w:themeColor="text1"/>
          <w:lang w:val="es-ES"/>
        </w:rPr>
        <w:t>La cual forma parte de la presente</w:t>
      </w:r>
      <w:r w:rsidR="008B10E2">
        <w:rPr>
          <w:rFonts w:eastAsia="Times New Roman"/>
          <w:bCs/>
          <w:lang w:eastAsia="es-PE"/>
        </w:rPr>
        <w:t xml:space="preserve">. </w:t>
      </w:r>
    </w:p>
    <w:p w:rsidR="00D70166" w:rsidRPr="00FB3340" w:rsidRDefault="00D70166" w:rsidP="00D701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Batang" w:hAnsi="Century Gothic" w:cs="Aparajita"/>
          <w:i/>
          <w:color w:val="000000" w:themeColor="text1"/>
          <w:lang w:val="es-ES" w:eastAsia="es-ES"/>
        </w:rPr>
      </w:pPr>
    </w:p>
    <w:p w:rsidR="00D70166" w:rsidRPr="00FB3340" w:rsidRDefault="00D70166" w:rsidP="00D70166">
      <w:pPr>
        <w:pStyle w:val="Textoindependiente"/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b/>
          <w:i/>
          <w:color w:val="000000" w:themeColor="text1"/>
        </w:rPr>
        <w:t xml:space="preserve">ARTÍCULO </w:t>
      </w: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/>
        </w:rPr>
        <w:t>2</w:t>
      </w:r>
      <w:r w:rsidRPr="00FB3340">
        <w:rPr>
          <w:rFonts w:ascii="Century Gothic" w:eastAsia="Batang" w:hAnsi="Century Gothic" w:cs="Aparajita"/>
          <w:b/>
          <w:i/>
          <w:color w:val="000000" w:themeColor="text1"/>
        </w:rPr>
        <w:t>°</w:t>
      </w: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/>
        </w:rPr>
        <w:t>. – DEJAR SIN EFECTO,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 xml:space="preserve"> cualquier acto administrativo de igual o menor jerarquía que se aponga a la presente Resolución.</w:t>
      </w:r>
    </w:p>
    <w:p w:rsidR="00D70166" w:rsidRPr="00FB3340" w:rsidRDefault="00D70166" w:rsidP="00D70166">
      <w:pPr>
        <w:pStyle w:val="Textoindependiente"/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</w:p>
    <w:p w:rsidR="00D70166" w:rsidRPr="00FB3340" w:rsidRDefault="00D70166" w:rsidP="00D70166">
      <w:pPr>
        <w:pStyle w:val="Textoindependiente"/>
        <w:spacing w:after="0" w:line="240" w:lineRule="auto"/>
        <w:ind w:firstLine="709"/>
        <w:jc w:val="both"/>
        <w:rPr>
          <w:rFonts w:ascii="Century Gothic" w:eastAsia="Batang" w:hAnsi="Century Gothic" w:cs="Aparajita"/>
          <w:i/>
          <w:color w:val="000000" w:themeColor="text1"/>
          <w:lang w:val="es-ES"/>
        </w:rPr>
      </w:pP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/>
        </w:rPr>
        <w:t xml:space="preserve">ARTICULO 3°. – NOTIFICAR </w:t>
      </w:r>
      <w:r w:rsidRPr="00FB3340">
        <w:rPr>
          <w:rFonts w:ascii="Century Gothic" w:eastAsia="Batang" w:hAnsi="Century Gothic" w:cs="Aparajita"/>
          <w:i/>
          <w:color w:val="000000" w:themeColor="text1"/>
          <w:lang w:val="es-ES"/>
        </w:rPr>
        <w:t>la presente Resolución a los órganos competentes del Hospital de Pampas de Tayacaja e Integrantes, para fines de ley.</w:t>
      </w:r>
    </w:p>
    <w:p w:rsidR="00D70166" w:rsidRPr="00FB3340" w:rsidRDefault="00D70166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</w:pPr>
    </w:p>
    <w:p w:rsidR="00D70166" w:rsidRPr="00FB3340" w:rsidRDefault="00D70166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  <w:r w:rsidRPr="00FB3340">
        <w:rPr>
          <w:rFonts w:ascii="Century Gothic" w:eastAsia="Batang" w:hAnsi="Century Gothic" w:cs="Aparajita"/>
          <w:b/>
          <w:i/>
          <w:color w:val="000000" w:themeColor="text1"/>
          <w:lang w:val="es-ES" w:eastAsia="es-ES"/>
        </w:rPr>
        <w:t>REGÍSTRESE, COMUNÍQUESE Y CÚMPLASE</w:t>
      </w:r>
      <w:r w:rsidRPr="00FB3340">
        <w:rPr>
          <w:rFonts w:ascii="Century Gothic" w:hAnsi="Century Gothic" w:cs="Aparajita"/>
          <w:i/>
          <w:color w:val="000000" w:themeColor="text1"/>
        </w:rPr>
        <w:t>.</w:t>
      </w:r>
    </w:p>
    <w:p w:rsidR="00D70166" w:rsidRDefault="00D70166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3D0985" w:rsidRPr="00FB3340" w:rsidRDefault="003D0985" w:rsidP="00D701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parajita"/>
          <w:i/>
          <w:color w:val="000000" w:themeColor="text1"/>
        </w:rPr>
      </w:pPr>
    </w:p>
    <w:p w:rsidR="00D70166" w:rsidRPr="00FB3340" w:rsidRDefault="00D70166" w:rsidP="00D70166">
      <w:pPr>
        <w:spacing w:after="0" w:line="240" w:lineRule="auto"/>
        <w:rPr>
          <w:rFonts w:ascii="Century Gothic" w:hAnsi="Century Gothic" w:cs="Aparajita"/>
          <w:i/>
          <w:color w:val="000000" w:themeColor="text1"/>
        </w:rPr>
      </w:pPr>
    </w:p>
    <w:p w:rsidR="00D70166" w:rsidRPr="00FB3340" w:rsidRDefault="00D70166" w:rsidP="00D70166">
      <w:pPr>
        <w:spacing w:after="0" w:line="240" w:lineRule="auto"/>
        <w:rPr>
          <w:rFonts w:ascii="Century Gothic" w:hAnsi="Century Gothic" w:cs="Aparajita"/>
          <w:i/>
          <w:color w:val="000000" w:themeColor="text1"/>
        </w:rPr>
      </w:pPr>
    </w:p>
    <w:p w:rsidR="00D70166" w:rsidRPr="00FB3340" w:rsidRDefault="00D70166" w:rsidP="00D70166">
      <w:pPr>
        <w:pStyle w:val="Sinespaciado"/>
        <w:rPr>
          <w:rFonts w:ascii="Arial" w:hAnsi="Arial" w:cs="Arial"/>
        </w:rPr>
      </w:pPr>
    </w:p>
    <w:p w:rsidR="00043321" w:rsidRPr="00FB3340" w:rsidRDefault="00D70166" w:rsidP="003D0985">
      <w:pPr>
        <w:pStyle w:val="Sinespaciado"/>
      </w:pPr>
      <w:r w:rsidRPr="00FB3340">
        <w:rPr>
          <w:rFonts w:ascii="Arial" w:hAnsi="Arial" w:cs="Arial"/>
        </w:rPr>
        <w:t>Nuevo Reg. Documento:</w:t>
      </w:r>
      <w:r w:rsidR="003D0985">
        <w:rPr>
          <w:rFonts w:ascii="Arial" w:hAnsi="Arial" w:cs="Arial"/>
        </w:rPr>
        <w:t xml:space="preserve"> </w:t>
      </w:r>
      <w:r w:rsidR="003D0985" w:rsidRPr="003D0985">
        <w:rPr>
          <w:rFonts w:ascii="Arial" w:hAnsi="Arial" w:cs="Arial"/>
        </w:rPr>
        <w:t>2644832</w:t>
      </w:r>
      <w:r w:rsidR="003D0985">
        <w:rPr>
          <w:rFonts w:ascii="Arial" w:hAnsi="Arial" w:cs="Arial"/>
        </w:rPr>
        <w:t xml:space="preserve"> </w:t>
      </w:r>
      <w:r w:rsidRPr="00FB3340">
        <w:rPr>
          <w:rFonts w:ascii="Arial" w:hAnsi="Arial" w:cs="Arial"/>
        </w:rPr>
        <w:t xml:space="preserve"> </w:t>
      </w:r>
      <w:r w:rsidRPr="00FB3340">
        <w:rPr>
          <w:rFonts w:ascii="Arial" w:hAnsi="Arial" w:cs="Arial"/>
        </w:rPr>
        <w:br/>
        <w:t>Nuevo Reg. Expediente:</w:t>
      </w:r>
      <w:r w:rsidR="003D0985" w:rsidRPr="003D0985">
        <w:t xml:space="preserve"> </w:t>
      </w:r>
      <w:r w:rsidR="003D0985" w:rsidRPr="003D0985">
        <w:rPr>
          <w:rFonts w:ascii="Arial" w:hAnsi="Arial" w:cs="Arial"/>
        </w:rPr>
        <w:t>01950058</w:t>
      </w:r>
      <w:bookmarkStart w:id="0" w:name="_GoBack"/>
      <w:bookmarkEnd w:id="0"/>
    </w:p>
    <w:sectPr w:rsidR="00043321" w:rsidRPr="00FB3340">
      <w:headerReference w:type="default" r:id="rId9"/>
      <w:pgSz w:w="11907" w:h="16839"/>
      <w:pgMar w:top="1417" w:right="1134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CB" w:rsidRDefault="001046CB">
      <w:pPr>
        <w:spacing w:line="240" w:lineRule="auto"/>
      </w:pPr>
      <w:r>
        <w:separator/>
      </w:r>
    </w:p>
  </w:endnote>
  <w:endnote w:type="continuationSeparator" w:id="0">
    <w:p w:rsidR="001046CB" w:rsidRDefault="00104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CB" w:rsidRDefault="001046CB">
      <w:pPr>
        <w:spacing w:after="0"/>
      </w:pPr>
      <w:r>
        <w:separator/>
      </w:r>
    </w:p>
  </w:footnote>
  <w:footnote w:type="continuationSeparator" w:id="0">
    <w:p w:rsidR="001046CB" w:rsidRDefault="001046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49" w:rsidRDefault="008C0049">
    <w:pPr>
      <w:pStyle w:val="Sinespaciado"/>
      <w:ind w:left="708" w:hanging="708"/>
      <w:jc w:val="center"/>
      <w:rPr>
        <w:b/>
        <w:i/>
        <w:color w:val="000000" w:themeColor="text1"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4663440</wp:posOffset>
          </wp:positionH>
          <wp:positionV relativeFrom="paragraph">
            <wp:posOffset>-87630</wp:posOffset>
          </wp:positionV>
          <wp:extent cx="1080135" cy="533400"/>
          <wp:effectExtent l="0" t="0" r="5715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8890</wp:posOffset>
          </wp:positionV>
          <wp:extent cx="1543050" cy="351155"/>
          <wp:effectExtent l="0" t="0" r="0" b="0"/>
          <wp:wrapSquare wrapText="bothSides"/>
          <wp:docPr id="5" name="Imagen 5" descr="https://encrypted-tbn0.gstatic.com/images?q=tbn:ANd9GcQS-FL5jjQUx2W3eSXPA9A8Nu2mD5bbjOd7c4Cf-qa5h6xuU_HRU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https://encrypted-tbn0.gstatic.com/images?q=tbn:ANd9GcQS-FL5jjQUx2W3eSXPA9A8Nu2mD5bbjOd7c4Cf-qa5h6xuU_HRU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color w:val="000000" w:themeColor="text1"/>
        <w:sz w:val="28"/>
        <w:szCs w:val="28"/>
      </w:rPr>
      <w:t>GOBIERNO REGIONAL DE HUANCAVELICA</w:t>
    </w:r>
  </w:p>
  <w:p w:rsidR="008C0049" w:rsidRDefault="008C0049">
    <w:pPr>
      <w:pStyle w:val="NormalWeb"/>
      <w:shd w:val="clear" w:color="auto" w:fill="FFFFFF"/>
      <w:spacing w:before="0" w:beforeAutospacing="0" w:after="0" w:afterAutospacing="0"/>
      <w:jc w:val="center"/>
      <w:textAlignment w:val="baseline"/>
      <w:rPr>
        <w:b/>
        <w:i/>
        <w:color w:val="000000" w:themeColor="text1"/>
        <w:sz w:val="28"/>
        <w:szCs w:val="28"/>
      </w:rPr>
    </w:pPr>
    <w:r>
      <w:rPr>
        <w:b/>
        <w:i/>
        <w:color w:val="000000" w:themeColor="text1"/>
        <w:sz w:val="28"/>
        <w:szCs w:val="28"/>
      </w:rPr>
      <w:t>HOSPITAL DE PAMPAS DE TAYACAJA</w:t>
    </w:r>
  </w:p>
  <w:p w:rsidR="008C0049" w:rsidRDefault="008C0049">
    <w:pPr>
      <w:pStyle w:val="NormalWeb"/>
      <w:shd w:val="clear" w:color="auto" w:fill="FFFFFF"/>
      <w:spacing w:before="0" w:beforeAutospacing="0" w:after="0" w:afterAutospacing="0"/>
      <w:jc w:val="center"/>
      <w:textAlignment w:val="baselin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-113030</wp:posOffset>
              </wp:positionV>
              <wp:extent cx="5574030" cy="40259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4182" cy="402336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2985D" id="Rectángulo 3" o:spid="_x0000_s1026" style="position:absolute;margin-left:.15pt;margin-top:-8.9pt;width:438.9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" filled="f" stroked="f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6CE5"/>
      </v:shape>
    </w:pict>
  </w:numPicBullet>
  <w:abstractNum w:abstractNumId="0" w15:restartNumberingAfterBreak="0">
    <w:nsid w:val="0F4D34E0"/>
    <w:multiLevelType w:val="hybridMultilevel"/>
    <w:tmpl w:val="655A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3382"/>
    <w:multiLevelType w:val="hybridMultilevel"/>
    <w:tmpl w:val="59DEFDEC"/>
    <w:lvl w:ilvl="0" w:tplc="040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AC56A2"/>
    <w:multiLevelType w:val="hybridMultilevel"/>
    <w:tmpl w:val="77BE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62030"/>
    <w:multiLevelType w:val="hybridMultilevel"/>
    <w:tmpl w:val="EF6A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D1D66"/>
    <w:multiLevelType w:val="multilevel"/>
    <w:tmpl w:val="541D1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A1F69"/>
    <w:multiLevelType w:val="multilevel"/>
    <w:tmpl w:val="685A1F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3ACF"/>
    <w:multiLevelType w:val="hybridMultilevel"/>
    <w:tmpl w:val="9AB0F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66"/>
    <w:rsid w:val="00043321"/>
    <w:rsid w:val="00052462"/>
    <w:rsid w:val="00066D6A"/>
    <w:rsid w:val="000679D2"/>
    <w:rsid w:val="00070730"/>
    <w:rsid w:val="0007488D"/>
    <w:rsid w:val="000867E0"/>
    <w:rsid w:val="0009762F"/>
    <w:rsid w:val="000A3536"/>
    <w:rsid w:val="000A3AAD"/>
    <w:rsid w:val="000A71BF"/>
    <w:rsid w:val="000D0F25"/>
    <w:rsid w:val="000F4BF9"/>
    <w:rsid w:val="00100F8B"/>
    <w:rsid w:val="001046CB"/>
    <w:rsid w:val="00111D68"/>
    <w:rsid w:val="00114197"/>
    <w:rsid w:val="001173B0"/>
    <w:rsid w:val="00142BCF"/>
    <w:rsid w:val="00143ABF"/>
    <w:rsid w:val="00144189"/>
    <w:rsid w:val="00146599"/>
    <w:rsid w:val="00150C69"/>
    <w:rsid w:val="00154D56"/>
    <w:rsid w:val="001A29F0"/>
    <w:rsid w:val="001B5A95"/>
    <w:rsid w:val="001C36C1"/>
    <w:rsid w:val="001C5E9A"/>
    <w:rsid w:val="001D61BE"/>
    <w:rsid w:val="001F29E4"/>
    <w:rsid w:val="001F6370"/>
    <w:rsid w:val="00203AC4"/>
    <w:rsid w:val="00204590"/>
    <w:rsid w:val="0021013F"/>
    <w:rsid w:val="002205FF"/>
    <w:rsid w:val="0022248F"/>
    <w:rsid w:val="00292AA2"/>
    <w:rsid w:val="002A1151"/>
    <w:rsid w:val="002D4DDB"/>
    <w:rsid w:val="002F24A1"/>
    <w:rsid w:val="00300744"/>
    <w:rsid w:val="0030699B"/>
    <w:rsid w:val="0034113E"/>
    <w:rsid w:val="00354E68"/>
    <w:rsid w:val="003652C7"/>
    <w:rsid w:val="00370600"/>
    <w:rsid w:val="00386DE9"/>
    <w:rsid w:val="0039048E"/>
    <w:rsid w:val="003A09AF"/>
    <w:rsid w:val="003A5764"/>
    <w:rsid w:val="003B6F98"/>
    <w:rsid w:val="003C606E"/>
    <w:rsid w:val="003D0985"/>
    <w:rsid w:val="003D682A"/>
    <w:rsid w:val="003E24E6"/>
    <w:rsid w:val="003E36FC"/>
    <w:rsid w:val="003F78F9"/>
    <w:rsid w:val="003F7A1D"/>
    <w:rsid w:val="00432C50"/>
    <w:rsid w:val="00474917"/>
    <w:rsid w:val="004751EC"/>
    <w:rsid w:val="00485B97"/>
    <w:rsid w:val="00486CC1"/>
    <w:rsid w:val="004C36F0"/>
    <w:rsid w:val="004C42A4"/>
    <w:rsid w:val="004C67BF"/>
    <w:rsid w:val="004E25B2"/>
    <w:rsid w:val="004F29A5"/>
    <w:rsid w:val="00510DE2"/>
    <w:rsid w:val="00512CD8"/>
    <w:rsid w:val="0052314E"/>
    <w:rsid w:val="00550868"/>
    <w:rsid w:val="00564275"/>
    <w:rsid w:val="00577253"/>
    <w:rsid w:val="00581BE6"/>
    <w:rsid w:val="005A568F"/>
    <w:rsid w:val="005A60E2"/>
    <w:rsid w:val="005B5E3A"/>
    <w:rsid w:val="005C050F"/>
    <w:rsid w:val="005F4480"/>
    <w:rsid w:val="0063147D"/>
    <w:rsid w:val="00642E86"/>
    <w:rsid w:val="00643FD9"/>
    <w:rsid w:val="00647C34"/>
    <w:rsid w:val="006663E2"/>
    <w:rsid w:val="00684D12"/>
    <w:rsid w:val="006A0C1B"/>
    <w:rsid w:val="006A3465"/>
    <w:rsid w:val="006A4F75"/>
    <w:rsid w:val="006B2599"/>
    <w:rsid w:val="006E12E6"/>
    <w:rsid w:val="006F3BD4"/>
    <w:rsid w:val="00700883"/>
    <w:rsid w:val="00706407"/>
    <w:rsid w:val="00734F84"/>
    <w:rsid w:val="007535F8"/>
    <w:rsid w:val="007642B8"/>
    <w:rsid w:val="0077687A"/>
    <w:rsid w:val="007854A7"/>
    <w:rsid w:val="007D6C9A"/>
    <w:rsid w:val="008024AF"/>
    <w:rsid w:val="0080538A"/>
    <w:rsid w:val="0080672D"/>
    <w:rsid w:val="0081111D"/>
    <w:rsid w:val="00836ADA"/>
    <w:rsid w:val="008B10E2"/>
    <w:rsid w:val="008C0049"/>
    <w:rsid w:val="008C6209"/>
    <w:rsid w:val="008C7367"/>
    <w:rsid w:val="008D4431"/>
    <w:rsid w:val="008E0318"/>
    <w:rsid w:val="008F4041"/>
    <w:rsid w:val="009251D2"/>
    <w:rsid w:val="009400D3"/>
    <w:rsid w:val="00941443"/>
    <w:rsid w:val="009549C2"/>
    <w:rsid w:val="009667F5"/>
    <w:rsid w:val="00973BEF"/>
    <w:rsid w:val="0098770B"/>
    <w:rsid w:val="009A2A9A"/>
    <w:rsid w:val="009B5B9C"/>
    <w:rsid w:val="009B5D7E"/>
    <w:rsid w:val="009B6D73"/>
    <w:rsid w:val="009B72DF"/>
    <w:rsid w:val="009D3D74"/>
    <w:rsid w:val="009E3275"/>
    <w:rsid w:val="009E404A"/>
    <w:rsid w:val="009E4766"/>
    <w:rsid w:val="00A10936"/>
    <w:rsid w:val="00A11B33"/>
    <w:rsid w:val="00A12930"/>
    <w:rsid w:val="00A20714"/>
    <w:rsid w:val="00A369B8"/>
    <w:rsid w:val="00A64E98"/>
    <w:rsid w:val="00A722C3"/>
    <w:rsid w:val="00A743D2"/>
    <w:rsid w:val="00A86B0B"/>
    <w:rsid w:val="00AA7F25"/>
    <w:rsid w:val="00AB0C18"/>
    <w:rsid w:val="00AC753E"/>
    <w:rsid w:val="00AF6EFE"/>
    <w:rsid w:val="00AF7FCC"/>
    <w:rsid w:val="00B072C8"/>
    <w:rsid w:val="00B11DEA"/>
    <w:rsid w:val="00B15009"/>
    <w:rsid w:val="00B25165"/>
    <w:rsid w:val="00B31EF8"/>
    <w:rsid w:val="00B338A2"/>
    <w:rsid w:val="00B8156E"/>
    <w:rsid w:val="00B81CAD"/>
    <w:rsid w:val="00B91396"/>
    <w:rsid w:val="00B914E8"/>
    <w:rsid w:val="00BC43B3"/>
    <w:rsid w:val="00BC4B39"/>
    <w:rsid w:val="00BD2666"/>
    <w:rsid w:val="00BE1E07"/>
    <w:rsid w:val="00BE3B2C"/>
    <w:rsid w:val="00C01103"/>
    <w:rsid w:val="00C25072"/>
    <w:rsid w:val="00C52889"/>
    <w:rsid w:val="00C819CD"/>
    <w:rsid w:val="00C87A7F"/>
    <w:rsid w:val="00C91A72"/>
    <w:rsid w:val="00C92DA2"/>
    <w:rsid w:val="00C96C99"/>
    <w:rsid w:val="00CC480B"/>
    <w:rsid w:val="00CD330F"/>
    <w:rsid w:val="00CD5998"/>
    <w:rsid w:val="00CF5082"/>
    <w:rsid w:val="00D06B39"/>
    <w:rsid w:val="00D17D32"/>
    <w:rsid w:val="00D50572"/>
    <w:rsid w:val="00D61232"/>
    <w:rsid w:val="00D62F9D"/>
    <w:rsid w:val="00D6401B"/>
    <w:rsid w:val="00D6757E"/>
    <w:rsid w:val="00D70166"/>
    <w:rsid w:val="00D85D50"/>
    <w:rsid w:val="00DC1DE9"/>
    <w:rsid w:val="00DF2EB0"/>
    <w:rsid w:val="00E1743D"/>
    <w:rsid w:val="00E30AA4"/>
    <w:rsid w:val="00E330B1"/>
    <w:rsid w:val="00E50C06"/>
    <w:rsid w:val="00E67BA4"/>
    <w:rsid w:val="00E72137"/>
    <w:rsid w:val="00E87668"/>
    <w:rsid w:val="00EA7D3D"/>
    <w:rsid w:val="00EB367E"/>
    <w:rsid w:val="00EC0E4E"/>
    <w:rsid w:val="00EC4AC3"/>
    <w:rsid w:val="00EC4E7A"/>
    <w:rsid w:val="00ED4D8F"/>
    <w:rsid w:val="00ED5F7A"/>
    <w:rsid w:val="00EF3195"/>
    <w:rsid w:val="00F04A91"/>
    <w:rsid w:val="00F15703"/>
    <w:rsid w:val="00F5012C"/>
    <w:rsid w:val="00F555E3"/>
    <w:rsid w:val="00F81177"/>
    <w:rsid w:val="00F853CC"/>
    <w:rsid w:val="00FB3340"/>
    <w:rsid w:val="00FC3F66"/>
    <w:rsid w:val="00FC7C10"/>
    <w:rsid w:val="00FE06BE"/>
    <w:rsid w:val="00FF3811"/>
    <w:rsid w:val="00FF38F0"/>
    <w:rsid w:val="28076BA8"/>
    <w:rsid w:val="4A0A6A07"/>
    <w:rsid w:val="50D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3A68E"/>
  <w15:docId w15:val="{61BB5CBD-F6E0-48FF-A4BC-C192FCAF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 w:line="256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Pr>
      <w:lang w:val="es-PE"/>
    </w:rPr>
  </w:style>
  <w:style w:type="paragraph" w:styleId="Sinespaciado">
    <w:name w:val="No Spacing"/>
    <w:uiPriority w:val="1"/>
    <w:qFormat/>
    <w:rPr>
      <w:sz w:val="22"/>
      <w:szCs w:val="22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lang w:val="es-PE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  <w:lang w:val="es-PE"/>
    </w:rPr>
  </w:style>
  <w:style w:type="character" w:customStyle="1" w:styleId="EncabezadoCar">
    <w:name w:val="Encabezado Car"/>
    <w:basedOn w:val="Fuentedeprrafopredeter"/>
    <w:link w:val="Encabezado"/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AE1336-0553-4626-8104-F466F921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10</cp:revision>
  <cp:lastPrinted>2023-04-20T14:13:00Z</cp:lastPrinted>
  <dcterms:created xsi:type="dcterms:W3CDTF">2023-04-21T17:42:00Z</dcterms:created>
  <dcterms:modified xsi:type="dcterms:W3CDTF">2023-04-24T17:12:00Z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6815ED07647046DFAF0CA6DF61637539</vt:lpwstr>
  </property>
</Properties>
</file>