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462" w:rsidRDefault="003E36FC">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052462" w:rsidRDefault="003E36FC">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D91B5B">
        <w:rPr>
          <w:rFonts w:ascii="Aparajita" w:hAnsi="Aparajita" w:cs="Aparajita"/>
          <w:b/>
          <w:i/>
          <w:sz w:val="34"/>
          <w:szCs w:val="34"/>
          <w:lang w:val="es-ES"/>
        </w:rPr>
        <w:t>0165</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052462" w:rsidRDefault="00052462">
      <w:pPr>
        <w:spacing w:after="0" w:line="240" w:lineRule="auto"/>
        <w:jc w:val="right"/>
        <w:rPr>
          <w:rFonts w:ascii="Century Gothic" w:eastAsia="Batang" w:hAnsi="Century Gothic" w:cs="Aparajita"/>
          <w:b/>
          <w:i/>
          <w:color w:val="000000" w:themeColor="text1"/>
          <w:sz w:val="20"/>
          <w:szCs w:val="20"/>
          <w:lang w:eastAsia="es-ES"/>
        </w:rPr>
      </w:pPr>
    </w:p>
    <w:p w:rsidR="00052462" w:rsidRPr="009400D3" w:rsidRDefault="003E36FC">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052462" w:rsidRDefault="00052462">
      <w:pPr>
        <w:spacing w:after="0" w:line="240" w:lineRule="auto"/>
        <w:ind w:firstLine="709"/>
        <w:jc w:val="both"/>
        <w:rPr>
          <w:rFonts w:ascii="Century Gothic" w:hAnsi="Century Gothic" w:cs="Aparajita"/>
          <w:b/>
          <w:i/>
          <w:color w:val="000000" w:themeColor="text1"/>
          <w:sz w:val="20"/>
          <w:szCs w:val="20"/>
          <w:lang w:eastAsia="es-ES"/>
        </w:rPr>
      </w:pPr>
    </w:p>
    <w:p w:rsidR="00052462" w:rsidRDefault="003E36FC">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052462" w:rsidRDefault="00052462">
      <w:pPr>
        <w:spacing w:after="0" w:line="240" w:lineRule="auto"/>
        <w:ind w:firstLine="709"/>
        <w:jc w:val="both"/>
        <w:rPr>
          <w:rFonts w:ascii="Century Gothic" w:eastAsia="Batang" w:hAnsi="Century Gothic" w:cs="Aparajita"/>
          <w:i/>
          <w:color w:val="000000" w:themeColor="text1"/>
          <w:sz w:val="21"/>
          <w:szCs w:val="21"/>
          <w:lang w:val="es-ES" w:eastAsia="es-ES"/>
        </w:rPr>
      </w:pPr>
    </w:p>
    <w:p w:rsidR="00052462" w:rsidRDefault="00386DE9">
      <w:pPr>
        <w:spacing w:after="0" w:line="240" w:lineRule="auto"/>
        <w:ind w:firstLine="709"/>
        <w:jc w:val="both"/>
        <w:rPr>
          <w:rFonts w:ascii="Century Gothic" w:eastAsia="Batang" w:hAnsi="Century Gothic" w:cs="Aparajita"/>
          <w:i/>
          <w:color w:val="000000" w:themeColor="text1"/>
          <w:szCs w:val="21"/>
          <w:lang w:val="es-ES" w:eastAsia="es-ES"/>
        </w:rPr>
      </w:pPr>
      <w:r>
        <w:rPr>
          <w:rFonts w:ascii="Century Gothic" w:eastAsia="Batang" w:hAnsi="Century Gothic" w:cs="Aparajita"/>
          <w:i/>
          <w:color w:val="000000" w:themeColor="text1"/>
          <w:szCs w:val="21"/>
          <w:lang w:val="es-ES" w:eastAsia="es-ES"/>
        </w:rPr>
        <w:t>MEMORÁNDUM</w:t>
      </w:r>
      <w:r w:rsidR="003E36FC">
        <w:rPr>
          <w:rFonts w:ascii="Century Gothic" w:eastAsia="Batang" w:hAnsi="Century Gothic" w:cs="Aparajita"/>
          <w:i/>
          <w:color w:val="000000" w:themeColor="text1"/>
          <w:szCs w:val="21"/>
          <w:lang w:val="es-ES" w:eastAsia="es-ES"/>
        </w:rPr>
        <w:t xml:space="preserve"> N° </w:t>
      </w:r>
      <w:r w:rsidR="001F2DA6">
        <w:rPr>
          <w:rFonts w:ascii="Century Gothic" w:eastAsia="Batang" w:hAnsi="Century Gothic" w:cs="Aparajita"/>
          <w:i/>
          <w:color w:val="000000" w:themeColor="text1"/>
          <w:szCs w:val="21"/>
          <w:lang w:val="es-ES" w:eastAsia="es-ES"/>
        </w:rPr>
        <w:t>00224</w:t>
      </w:r>
      <w:r w:rsidR="003E36FC">
        <w:rPr>
          <w:rFonts w:ascii="Century Gothic" w:eastAsia="Batang" w:hAnsi="Century Gothic" w:cs="Aparajita"/>
          <w:i/>
          <w:color w:val="000000" w:themeColor="text1"/>
          <w:szCs w:val="21"/>
          <w:lang w:val="es-ES" w:eastAsia="es-ES"/>
        </w:rPr>
        <w:t>-202</w:t>
      </w:r>
      <w:r w:rsidR="003E36FC" w:rsidRPr="009400D3">
        <w:rPr>
          <w:rFonts w:ascii="Century Gothic" w:eastAsia="Batang" w:hAnsi="Century Gothic" w:cs="Aparajita"/>
          <w:i/>
          <w:color w:val="000000" w:themeColor="text1"/>
          <w:szCs w:val="21"/>
          <w:lang w:val="es-ES" w:eastAsia="es-ES"/>
        </w:rPr>
        <w:t>3/</w:t>
      </w:r>
      <w:r w:rsidR="003E36FC">
        <w:rPr>
          <w:rFonts w:ascii="Century Gothic" w:eastAsia="Batang" w:hAnsi="Century Gothic" w:cs="Aparajita"/>
          <w:i/>
          <w:color w:val="000000" w:themeColor="text1"/>
          <w:szCs w:val="21"/>
          <w:lang w:val="es-ES" w:eastAsia="es-ES"/>
        </w:rPr>
        <w:t xml:space="preserve">GOB.REG-HVCA/HPT-D, de fecha </w:t>
      </w:r>
      <w:r w:rsidR="00EC4E7A">
        <w:rPr>
          <w:rFonts w:ascii="Century Gothic" w:eastAsia="Batang" w:hAnsi="Century Gothic" w:cs="Aparajita"/>
          <w:i/>
          <w:color w:val="000000" w:themeColor="text1"/>
          <w:szCs w:val="21"/>
          <w:lang w:val="es-ES" w:eastAsia="es-ES"/>
        </w:rPr>
        <w:t>2</w:t>
      </w:r>
      <w:r w:rsidR="001F2DA6">
        <w:rPr>
          <w:rFonts w:ascii="Century Gothic" w:eastAsia="Batang" w:hAnsi="Century Gothic" w:cs="Aparajita"/>
          <w:i/>
          <w:color w:val="000000" w:themeColor="text1"/>
          <w:szCs w:val="21"/>
          <w:lang w:val="es-ES" w:eastAsia="es-ES"/>
        </w:rPr>
        <w:t>4</w:t>
      </w:r>
      <w:r w:rsidR="003E36FC" w:rsidRPr="009400D3">
        <w:rPr>
          <w:rFonts w:ascii="Century Gothic" w:eastAsia="Batang" w:hAnsi="Century Gothic" w:cs="Aparajita"/>
          <w:i/>
          <w:color w:val="000000" w:themeColor="text1"/>
          <w:szCs w:val="21"/>
          <w:lang w:val="es-ES" w:eastAsia="es-ES"/>
        </w:rPr>
        <w:t xml:space="preserve"> de febrero</w:t>
      </w:r>
      <w:r w:rsidR="003E36FC">
        <w:rPr>
          <w:rFonts w:ascii="Century Gothic" w:eastAsia="Batang" w:hAnsi="Century Gothic" w:cs="Aparajita"/>
          <w:i/>
          <w:color w:val="000000" w:themeColor="text1"/>
          <w:szCs w:val="21"/>
          <w:lang w:val="es-ES" w:eastAsia="es-ES"/>
        </w:rPr>
        <w:t xml:space="preserve"> del 202</w:t>
      </w:r>
      <w:r w:rsidR="003E36FC"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w:t>
      </w:r>
      <w:r w:rsidR="003E36FC">
        <w:rPr>
          <w:rFonts w:ascii="Century Gothic" w:eastAsia="Batang" w:hAnsi="Century Gothic" w:cs="Aparajita"/>
          <w:i/>
          <w:color w:val="000000" w:themeColor="text1"/>
          <w:szCs w:val="21"/>
          <w:lang w:val="es-ES" w:eastAsia="es-ES"/>
        </w:rPr>
        <w:t xml:space="preserve">irección </w:t>
      </w:r>
      <w:r>
        <w:rPr>
          <w:rFonts w:ascii="Century Gothic" w:eastAsia="Batang" w:hAnsi="Century Gothic" w:cs="Aparajita"/>
          <w:i/>
          <w:color w:val="000000" w:themeColor="text1"/>
          <w:szCs w:val="21"/>
          <w:lang w:val="es-ES" w:eastAsia="es-ES"/>
        </w:rPr>
        <w:t>E</w:t>
      </w:r>
      <w:r w:rsidR="003E36FC">
        <w:rPr>
          <w:rFonts w:ascii="Century Gothic" w:eastAsia="Batang" w:hAnsi="Century Gothic" w:cs="Aparajita"/>
          <w:i/>
          <w:color w:val="000000" w:themeColor="text1"/>
          <w:szCs w:val="21"/>
          <w:lang w:val="es-ES" w:eastAsia="es-ES"/>
        </w:rPr>
        <w:t>jecutiva ordena proyectar el Acto Resolutivo, aprobando</w:t>
      </w:r>
      <w:r w:rsidR="003E36FC">
        <w:rPr>
          <w:rFonts w:ascii="Century Gothic" w:eastAsia="Batang" w:hAnsi="Century Gothic" w:cs="Aparajita"/>
          <w:b/>
          <w:i/>
          <w:color w:val="000000" w:themeColor="text1"/>
          <w:szCs w:val="21"/>
          <w:lang w:val="es-ES" w:eastAsia="es-ES"/>
        </w:rPr>
        <w:t xml:space="preserve">, </w:t>
      </w:r>
      <w:r w:rsidR="001F2DA6">
        <w:rPr>
          <w:rFonts w:ascii="Century Gothic" w:eastAsia="Batang" w:hAnsi="Century Gothic" w:cs="Aparajita"/>
          <w:b/>
          <w:i/>
          <w:color w:val="000000" w:themeColor="text1"/>
          <w:szCs w:val="21"/>
          <w:lang w:val="es-ES" w:eastAsia="es-ES"/>
        </w:rPr>
        <w:t>EL</w:t>
      </w:r>
      <w:r w:rsidR="003E36FC" w:rsidRPr="009400D3">
        <w:rPr>
          <w:rFonts w:ascii="Century Gothic" w:eastAsia="Batang" w:hAnsi="Century Gothic" w:cs="Aparajita"/>
          <w:b/>
          <w:i/>
          <w:color w:val="000000" w:themeColor="text1"/>
          <w:szCs w:val="21"/>
          <w:lang w:val="es-ES" w:eastAsia="es-ES"/>
        </w:rPr>
        <w:t xml:space="preserve"> </w:t>
      </w:r>
      <w:r w:rsidR="001F2DA6">
        <w:rPr>
          <w:rFonts w:ascii="Century Gothic" w:eastAsia="Batang" w:hAnsi="Century Gothic" w:cs="Aparajita"/>
          <w:b/>
          <w:i/>
          <w:color w:val="000000" w:themeColor="text1"/>
          <w:szCs w:val="21"/>
          <w:lang w:val="es-ES" w:eastAsia="es-ES"/>
        </w:rPr>
        <w:t>CRONOGRAMA ANUAL DE</w:t>
      </w:r>
      <w:r w:rsidR="006A3465" w:rsidRPr="00A64E98">
        <w:rPr>
          <w:rFonts w:ascii="Century Gothic" w:eastAsia="Batang" w:hAnsi="Century Gothic" w:cs="Aparajita"/>
          <w:b/>
          <w:i/>
          <w:color w:val="000000" w:themeColor="text1"/>
          <w:szCs w:val="21"/>
          <w:lang w:val="es-ES" w:eastAsia="es-ES"/>
        </w:rPr>
        <w:t xml:space="preserve"> RO</w:t>
      </w:r>
      <w:r w:rsidR="006A3465">
        <w:rPr>
          <w:rFonts w:ascii="Century Gothic" w:eastAsia="Batang" w:hAnsi="Century Gothic" w:cs="Aparajita"/>
          <w:b/>
          <w:i/>
          <w:color w:val="000000" w:themeColor="text1"/>
          <w:szCs w:val="21"/>
          <w:lang w:val="es-ES" w:eastAsia="es-ES"/>
        </w:rPr>
        <w:t>NDAS DE SEGURIDAD DEL PACIENTE</w:t>
      </w:r>
      <w:r w:rsidR="001F2DA6">
        <w:rPr>
          <w:rFonts w:ascii="Century Gothic" w:eastAsia="Batang" w:hAnsi="Century Gothic" w:cs="Aparajita"/>
          <w:b/>
          <w:i/>
          <w:color w:val="000000" w:themeColor="text1"/>
          <w:szCs w:val="21"/>
          <w:lang w:val="es-ES" w:eastAsia="es-ES"/>
        </w:rPr>
        <w:t xml:space="preserve"> DEL HOSPITAL DE PAMPAS TAYACAJA</w:t>
      </w:r>
      <w:r w:rsidR="003E36FC">
        <w:rPr>
          <w:rFonts w:ascii="Century Gothic" w:eastAsia="Batang" w:hAnsi="Century Gothic" w:cs="Aparajita"/>
          <w:i/>
          <w:color w:val="000000" w:themeColor="text1"/>
          <w:szCs w:val="21"/>
          <w:lang w:val="es-ES" w:eastAsia="es-ES"/>
        </w:rPr>
        <w:t>; y,</w:t>
      </w:r>
    </w:p>
    <w:p w:rsidR="00EC4E7A" w:rsidRDefault="00EC4E7A">
      <w:pPr>
        <w:spacing w:after="0" w:line="240" w:lineRule="auto"/>
        <w:ind w:firstLine="709"/>
        <w:jc w:val="both"/>
        <w:rPr>
          <w:rFonts w:ascii="Century Gothic" w:eastAsia="Batang" w:hAnsi="Century Gothic" w:cs="Aparajita"/>
          <w:b/>
          <w:i/>
          <w:color w:val="000000" w:themeColor="text1"/>
          <w:szCs w:val="21"/>
          <w:lang w:val="es-ES" w:eastAsia="es-ES"/>
        </w:rPr>
      </w:pPr>
    </w:p>
    <w:p w:rsidR="00052462" w:rsidRDefault="003E36FC">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052462" w:rsidRDefault="00052462">
      <w:pPr>
        <w:spacing w:after="0" w:line="240" w:lineRule="auto"/>
        <w:ind w:firstLine="709"/>
        <w:jc w:val="both"/>
        <w:rPr>
          <w:rFonts w:ascii="Century Gothic" w:eastAsia="Batang" w:hAnsi="Century Gothic" w:cs="Aparajita"/>
          <w:i/>
          <w:color w:val="000000" w:themeColor="text1"/>
          <w:sz w:val="21"/>
          <w:szCs w:val="21"/>
          <w:lang w:val="es-ES"/>
        </w:rPr>
      </w:pPr>
    </w:p>
    <w:p w:rsidR="00052462" w:rsidRDefault="003E36FC">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052462" w:rsidRDefault="00052462">
      <w:pPr>
        <w:spacing w:after="0" w:line="240" w:lineRule="auto"/>
        <w:ind w:firstLine="709"/>
        <w:jc w:val="both"/>
        <w:rPr>
          <w:rFonts w:ascii="Century Gothic" w:eastAsia="Batang" w:hAnsi="Century Gothic" w:cs="Aparajita"/>
          <w:i/>
          <w:color w:val="000000" w:themeColor="text1"/>
          <w:lang w:val="es-ES"/>
        </w:rPr>
      </w:pPr>
    </w:p>
    <w:p w:rsidR="00474917" w:rsidRDefault="003E36FC">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xml:space="preserve">, mediante Ley N° 29733, Ley de Seguridad y Salud en el Trabajo se busca promover una cultura de prevención de riesgos laborales en el país. contando para ello, con el deber de prevención de los empleadores, el rol de </w:t>
      </w:r>
      <w:r w:rsidR="00D6757E">
        <w:rPr>
          <w:rFonts w:ascii="Century Gothic" w:hAnsi="Century Gothic"/>
        </w:rPr>
        <w:t>fiscalización y control del Est</w:t>
      </w:r>
      <w:r>
        <w:rPr>
          <w:rFonts w:ascii="Century Gothic" w:hAnsi="Century Gothic"/>
        </w:rPr>
        <w:t>ado y la participación de los trabajadores, quiénes a través de diálogo social, velan por la promoción difusión y cumplimiento de la normativa sobre materia;</w:t>
      </w:r>
    </w:p>
    <w:p w:rsidR="0030699B" w:rsidRDefault="0030699B">
      <w:pPr>
        <w:spacing w:after="0" w:line="240" w:lineRule="auto"/>
        <w:ind w:firstLine="720"/>
        <w:jc w:val="both"/>
        <w:rPr>
          <w:rFonts w:ascii="Century Gothic" w:hAnsi="Century Gothic"/>
        </w:rPr>
      </w:pPr>
    </w:p>
    <w:p w:rsidR="00386DE9" w:rsidRDefault="00386DE9">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r w:rsidR="00B914E8">
        <w:rPr>
          <w:rFonts w:ascii="Century Gothic" w:hAnsi="Century Gothic"/>
        </w:rPr>
        <w:t>;</w:t>
      </w:r>
    </w:p>
    <w:p w:rsidR="00B914E8" w:rsidRDefault="00B914E8">
      <w:pPr>
        <w:spacing w:after="0" w:line="240" w:lineRule="auto"/>
        <w:ind w:firstLine="720"/>
        <w:jc w:val="both"/>
        <w:rPr>
          <w:rFonts w:ascii="Century Gothic" w:hAnsi="Century Gothic"/>
        </w:rPr>
      </w:pPr>
    </w:p>
    <w:p w:rsidR="00B914E8" w:rsidRDefault="00B914E8">
      <w:pPr>
        <w:spacing w:after="0" w:line="240" w:lineRule="auto"/>
        <w:ind w:firstLine="720"/>
        <w:jc w:val="both"/>
        <w:rPr>
          <w:rFonts w:ascii="Century Gothic" w:hAnsi="Century Gothic"/>
        </w:rPr>
      </w:pPr>
    </w:p>
    <w:p w:rsidR="00386DE9" w:rsidRDefault="00386DE9">
      <w:pPr>
        <w:spacing w:after="0" w:line="240" w:lineRule="auto"/>
        <w:ind w:firstLine="720"/>
        <w:jc w:val="both"/>
        <w:rPr>
          <w:rFonts w:ascii="Century Gothic" w:hAnsi="Century Gothic"/>
        </w:rPr>
      </w:pPr>
      <w:r>
        <w:rPr>
          <w:rFonts w:ascii="Century Gothic" w:hAnsi="Century Gothic"/>
        </w:rPr>
        <w:t xml:space="preserve">Que, en el marco del proceso de </w:t>
      </w:r>
      <w:r w:rsidR="00B914E8">
        <w:rPr>
          <w:rFonts w:ascii="Century Gothic" w:hAnsi="Century Gothic"/>
        </w:rPr>
        <w:t>descentralización</w:t>
      </w:r>
      <w:r>
        <w:rPr>
          <w:rFonts w:ascii="Century Gothic" w:hAnsi="Century Gothic"/>
        </w:rPr>
        <w:t xml:space="preserve"> y las políticas de la salud, las organizaciones de salud establecen y desarrollan acciones pertinentes de </w:t>
      </w:r>
      <w:r w:rsidR="0030699B">
        <w:rPr>
          <w:rFonts w:ascii="Century Gothic" w:hAnsi="Century Gothic"/>
        </w:rPr>
        <w:t>G</w:t>
      </w:r>
      <w:r>
        <w:rPr>
          <w:rFonts w:ascii="Century Gothic" w:hAnsi="Century Gothic"/>
        </w:rPr>
        <w:t xml:space="preserve">estión </w:t>
      </w:r>
      <w:r w:rsidR="0030699B">
        <w:rPr>
          <w:rFonts w:ascii="Century Gothic" w:hAnsi="Century Gothic"/>
        </w:rPr>
        <w:t>de C</w:t>
      </w:r>
      <w:r>
        <w:rPr>
          <w:rFonts w:ascii="Century Gothic" w:hAnsi="Century Gothic"/>
        </w:rPr>
        <w:t xml:space="preserve">alidad, a fin de mejorar sus procesos, </w:t>
      </w:r>
      <w:r w:rsidR="00B914E8">
        <w:rPr>
          <w:rFonts w:ascii="Century Gothic" w:hAnsi="Century Gothic"/>
        </w:rPr>
        <w:t>resultados, clima organizacional y la satisfacción de los usurarios internos y externos;</w:t>
      </w:r>
    </w:p>
    <w:p w:rsidR="00A743D2" w:rsidRDefault="00A743D2">
      <w:pPr>
        <w:spacing w:after="0" w:line="240" w:lineRule="auto"/>
        <w:ind w:firstLine="720"/>
        <w:jc w:val="both"/>
        <w:rPr>
          <w:rFonts w:ascii="Century Gothic" w:hAnsi="Century Gothic"/>
        </w:rPr>
      </w:pPr>
    </w:p>
    <w:p w:rsidR="00A743D2" w:rsidRDefault="00A743D2">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A743D2" w:rsidRPr="00A743D2" w:rsidRDefault="00A743D2" w:rsidP="009667F5">
      <w:pPr>
        <w:spacing w:after="0" w:line="240" w:lineRule="auto"/>
        <w:jc w:val="both"/>
        <w:rPr>
          <w:rFonts w:ascii="Century Gothic" w:hAnsi="Century Gothic"/>
        </w:rPr>
      </w:pPr>
    </w:p>
    <w:p w:rsidR="00474917" w:rsidRPr="00A743D2" w:rsidRDefault="00B914E8" w:rsidP="00A743D2">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w:t>
      </w:r>
      <w:r w:rsidR="0030699B">
        <w:rPr>
          <w:rFonts w:ascii="Century Gothic" w:hAnsi="Century Gothic"/>
        </w:rPr>
        <w:t>reglamento</w:t>
      </w:r>
      <w:r>
        <w:rPr>
          <w:rFonts w:ascii="Century Gothic" w:hAnsi="Century Gothic"/>
        </w:rPr>
        <w:t xml:space="preserve"> de </w:t>
      </w:r>
      <w:r w:rsidR="0030699B">
        <w:rPr>
          <w:rFonts w:ascii="Century Gothic" w:hAnsi="Century Gothic"/>
        </w:rPr>
        <w:t>O</w:t>
      </w:r>
      <w:r>
        <w:rPr>
          <w:rFonts w:ascii="Century Gothic" w:hAnsi="Century Gothic"/>
        </w:rPr>
        <w:t xml:space="preserve">rganización </w:t>
      </w:r>
      <w:r w:rsidR="0030699B">
        <w:rPr>
          <w:rFonts w:ascii="Century Gothic" w:hAnsi="Century Gothic"/>
        </w:rPr>
        <w:t>y Funciones del M</w:t>
      </w:r>
      <w:r>
        <w:rPr>
          <w:rFonts w:ascii="Century Gothic" w:hAnsi="Century Gothic"/>
        </w:rPr>
        <w:t>inisterio de salud, aprobado p</w:t>
      </w:r>
      <w:r w:rsidR="0030699B">
        <w:rPr>
          <w:rFonts w:ascii="Century Gothic" w:hAnsi="Century Gothic"/>
        </w:rPr>
        <w:t xml:space="preserve">or </w:t>
      </w:r>
      <w:r w:rsidR="0030699B" w:rsidRPr="0030699B">
        <w:rPr>
          <w:rFonts w:ascii="Century Gothic" w:hAnsi="Century Gothic"/>
          <w:b/>
        </w:rPr>
        <w:t>Decreto Supremo</w:t>
      </w:r>
      <w:r w:rsidR="0030699B">
        <w:rPr>
          <w:rFonts w:ascii="Century Gothic" w:hAnsi="Century Gothic"/>
        </w:rPr>
        <w:t xml:space="preserve"> </w:t>
      </w:r>
      <w:r w:rsidR="0030699B" w:rsidRPr="0030699B">
        <w:rPr>
          <w:rFonts w:ascii="Century Gothic" w:hAnsi="Century Gothic"/>
          <w:b/>
        </w:rPr>
        <w:t>Nº 014-2002-SA</w:t>
      </w:r>
      <w:r>
        <w:rPr>
          <w:rFonts w:ascii="Century Gothic" w:hAnsi="Century Gothic"/>
        </w:rPr>
        <w:t xml:space="preserve">, la </w:t>
      </w:r>
      <w:r w:rsidR="0030699B">
        <w:rPr>
          <w:rFonts w:ascii="Century Gothic" w:hAnsi="Century Gothic"/>
        </w:rPr>
        <w:t>D</w:t>
      </w:r>
      <w:r>
        <w:rPr>
          <w:rFonts w:ascii="Century Gothic" w:hAnsi="Century Gothic"/>
        </w:rPr>
        <w:t xml:space="preserve">irección </w:t>
      </w:r>
      <w:r w:rsidR="0030699B">
        <w:rPr>
          <w:rFonts w:ascii="Century Gothic" w:hAnsi="Century Gothic"/>
        </w:rPr>
        <w:t>General de Salud de las P</w:t>
      </w:r>
      <w:r>
        <w:rPr>
          <w:rFonts w:ascii="Century Gothic" w:hAnsi="Century Gothic"/>
        </w:rPr>
        <w:t xml:space="preserve">ersonas, a través de la </w:t>
      </w:r>
      <w:r w:rsidR="0030699B">
        <w:rPr>
          <w:rFonts w:ascii="Century Gothic" w:hAnsi="Century Gothic"/>
        </w:rPr>
        <w:t>D</w:t>
      </w:r>
      <w:r>
        <w:rPr>
          <w:rFonts w:ascii="Century Gothic" w:hAnsi="Century Gothic"/>
        </w:rPr>
        <w:t xml:space="preserve">irección </w:t>
      </w:r>
      <w:r w:rsidR="0030699B">
        <w:rPr>
          <w:rFonts w:ascii="Century Gothic" w:hAnsi="Century Gothic"/>
        </w:rPr>
        <w:t>Ejecutiva de Calidad en S</w:t>
      </w:r>
      <w:r>
        <w:rPr>
          <w:rFonts w:ascii="Century Gothic" w:hAnsi="Century Gothic"/>
        </w:rPr>
        <w:t xml:space="preserve">alud, </w:t>
      </w:r>
      <w:r w:rsidR="0030699B">
        <w:rPr>
          <w:rFonts w:ascii="Century Gothic" w:hAnsi="Century Gothic"/>
        </w:rPr>
        <w:t>está</w:t>
      </w:r>
      <w:r>
        <w:rPr>
          <w:rFonts w:ascii="Century Gothic" w:hAnsi="Century Gothic"/>
        </w:rPr>
        <w:t xml:space="preserve"> a </w:t>
      </w:r>
      <w:r w:rsidR="0030699B">
        <w:rPr>
          <w:rFonts w:ascii="Century Gothic" w:hAnsi="Century Gothic"/>
        </w:rPr>
        <w:t>cargo de diseñar y conducir e</w:t>
      </w:r>
      <w:r>
        <w:rPr>
          <w:rFonts w:ascii="Century Gothic" w:hAnsi="Century Gothic"/>
        </w:rPr>
        <w:t xml:space="preserve">l </w:t>
      </w:r>
      <w:r w:rsidR="0030699B">
        <w:rPr>
          <w:rFonts w:ascii="Century Gothic" w:hAnsi="Century Gothic"/>
        </w:rPr>
        <w:lastRenderedPageBreak/>
        <w:t>S</w:t>
      </w:r>
      <w:r>
        <w:rPr>
          <w:rFonts w:ascii="Century Gothic" w:hAnsi="Century Gothic"/>
        </w:rPr>
        <w:t xml:space="preserve">istema </w:t>
      </w:r>
      <w:r w:rsidR="0030699B">
        <w:rPr>
          <w:rFonts w:ascii="Century Gothic" w:hAnsi="Century Gothic"/>
        </w:rPr>
        <w:t>N</w:t>
      </w:r>
      <w:r>
        <w:rPr>
          <w:rFonts w:ascii="Century Gothic" w:hAnsi="Century Gothic"/>
        </w:rPr>
        <w:t xml:space="preserve">acional de </w:t>
      </w:r>
      <w:r w:rsidR="0030699B">
        <w:rPr>
          <w:rFonts w:ascii="Century Gothic" w:hAnsi="Century Gothic"/>
        </w:rPr>
        <w:t>G</w:t>
      </w:r>
      <w:r>
        <w:rPr>
          <w:rFonts w:ascii="Century Gothic" w:hAnsi="Century Gothic"/>
        </w:rPr>
        <w:t xml:space="preserve">estión </w:t>
      </w:r>
      <w:r w:rsidR="0030699B">
        <w:rPr>
          <w:rFonts w:ascii="Century Gothic" w:hAnsi="Century Gothic"/>
        </w:rPr>
        <w:t>de C</w:t>
      </w:r>
      <w:r>
        <w:rPr>
          <w:rFonts w:ascii="Century Gothic" w:hAnsi="Century Gothic"/>
        </w:rPr>
        <w:t xml:space="preserve">alidad de la atención </w:t>
      </w:r>
      <w:r w:rsidR="0030699B">
        <w:rPr>
          <w:rFonts w:ascii="Century Gothic" w:hAnsi="Century Gothic"/>
        </w:rPr>
        <w:t xml:space="preserve">De </w:t>
      </w:r>
      <w:r>
        <w:rPr>
          <w:rFonts w:ascii="Century Gothic" w:hAnsi="Century Gothic"/>
        </w:rPr>
        <w:t xml:space="preserve">la </w:t>
      </w:r>
      <w:r w:rsidR="0030699B">
        <w:rPr>
          <w:rFonts w:ascii="Century Gothic" w:hAnsi="Century Gothic"/>
        </w:rPr>
        <w:t>Salud</w:t>
      </w:r>
      <w:r>
        <w:rPr>
          <w:rFonts w:ascii="Century Gothic" w:hAnsi="Century Gothic"/>
        </w:rPr>
        <w:t xml:space="preserve"> en los ámbitos </w:t>
      </w:r>
      <w:r w:rsidR="0030699B">
        <w:rPr>
          <w:rFonts w:ascii="Century Gothic" w:hAnsi="Century Gothic"/>
        </w:rPr>
        <w:t>sectorial</w:t>
      </w:r>
      <w:r>
        <w:rPr>
          <w:rFonts w:ascii="Century Gothic" w:hAnsi="Century Gothic"/>
        </w:rPr>
        <w:t xml:space="preserve"> e institucional; </w:t>
      </w:r>
    </w:p>
    <w:p w:rsidR="00052462" w:rsidRDefault="00052462">
      <w:pPr>
        <w:spacing w:after="0" w:line="240" w:lineRule="auto"/>
        <w:jc w:val="both"/>
        <w:rPr>
          <w:rFonts w:ascii="Century Gothic" w:eastAsia="Batang" w:hAnsi="Century Gothic" w:cs="Aparajita"/>
          <w:i/>
          <w:color w:val="000000" w:themeColor="text1"/>
          <w:highlight w:val="yellow"/>
          <w:lang w:val="es-ES"/>
        </w:rPr>
      </w:pPr>
    </w:p>
    <w:p w:rsidR="009E404A" w:rsidRDefault="009E404A" w:rsidP="009E404A">
      <w:pPr>
        <w:spacing w:after="0" w:line="240" w:lineRule="auto"/>
        <w:ind w:firstLine="709"/>
        <w:jc w:val="both"/>
        <w:rPr>
          <w:rFonts w:ascii="Century Gothic" w:eastAsia="Batang" w:hAnsi="Century Gothic" w:cs="Aparajita"/>
          <w:i/>
          <w:color w:val="000000" w:themeColor="text1"/>
          <w:lang w:val="es-ES"/>
        </w:rPr>
      </w:pPr>
      <w:r w:rsidRPr="00A64E98">
        <w:rPr>
          <w:rFonts w:ascii="Century Gothic" w:eastAsia="Batang" w:hAnsi="Century Gothic" w:cs="Aparajita"/>
          <w:i/>
          <w:color w:val="000000" w:themeColor="text1"/>
          <w:lang w:val="es-ES"/>
        </w:rPr>
        <w:t>Que, mediante Resolución Ministerial N° 163-2020-MINSA, el Ministerio de Salud resuelve aprobar la Directiva Sanitaria N° 92-MINSA/2020/DGAIN: “Directiva Sanitaria de Rondas de Seguridad del Paciente para la gestión del riesgo en la atención de salud”, que define la Ronda de Seguridad, como una herramienta que permite evaluar la ejecución de las Buenas Prácticas de la Atención en Salud, recomendada para fortalecer la cultura de seguridad del paciente, la cual consiste en una visita programada a una UPSS seleccionada al azar en una determinada IPRESS, liderado por la máxima autoridad de ésta, para identificar prácticas</w:t>
      </w:r>
      <w:r>
        <w:rPr>
          <w:rFonts w:ascii="Century Gothic" w:eastAsia="Batang" w:hAnsi="Century Gothic" w:cs="Aparajita"/>
          <w:i/>
          <w:color w:val="000000" w:themeColor="text1"/>
          <w:lang w:val="es-ES"/>
        </w:rPr>
        <w:t xml:space="preserve"> </w:t>
      </w:r>
      <w:r w:rsidRPr="00A64E98">
        <w:rPr>
          <w:rFonts w:ascii="Century Gothic" w:eastAsia="Batang" w:hAnsi="Century Gothic" w:cs="Aparajita"/>
          <w:i/>
          <w:color w:val="000000" w:themeColor="text1"/>
          <w:lang w:val="es-ES"/>
        </w:rPr>
        <w:t>seguras durante la atención de salud y establecer contacto directo con el paciente, familia y personal de salud, siempre con actitud educativa y no punitiva;</w:t>
      </w:r>
    </w:p>
    <w:p w:rsidR="009E404A" w:rsidRPr="00A64E98" w:rsidRDefault="009E404A" w:rsidP="009E404A">
      <w:pPr>
        <w:spacing w:after="0" w:line="240" w:lineRule="auto"/>
        <w:ind w:firstLine="709"/>
        <w:jc w:val="both"/>
        <w:rPr>
          <w:rFonts w:ascii="Century Gothic" w:eastAsia="Batang" w:hAnsi="Century Gothic" w:cs="Aparajita"/>
          <w:i/>
          <w:color w:val="000000" w:themeColor="text1"/>
          <w:lang w:val="es-ES"/>
        </w:rPr>
      </w:pPr>
    </w:p>
    <w:p w:rsidR="009E404A" w:rsidRDefault="009E404A">
      <w:pPr>
        <w:spacing w:after="0" w:line="240" w:lineRule="auto"/>
        <w:jc w:val="both"/>
        <w:rPr>
          <w:rFonts w:ascii="Century Gothic" w:eastAsia="Batang" w:hAnsi="Century Gothic" w:cs="Aparajita"/>
          <w:i/>
          <w:color w:val="000000" w:themeColor="text1"/>
          <w:highlight w:val="yellow"/>
          <w:lang w:val="es-ES"/>
        </w:rPr>
      </w:pPr>
    </w:p>
    <w:p w:rsidR="00F853CC" w:rsidRDefault="003E36FC">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w:t>
      </w:r>
      <w:r w:rsidR="00D6757E">
        <w:rPr>
          <w:rFonts w:ascii="Century Gothic" w:eastAsia="Batang" w:hAnsi="Century Gothic" w:cs="Aparajita"/>
          <w:i/>
          <w:color w:val="000000" w:themeColor="text1"/>
          <w:lang w:val="es-ES"/>
        </w:rPr>
        <w:t>00</w:t>
      </w:r>
      <w:r w:rsidR="001F2DA6">
        <w:rPr>
          <w:rFonts w:ascii="Century Gothic" w:eastAsia="Batang" w:hAnsi="Century Gothic" w:cs="Aparajita"/>
          <w:i/>
          <w:color w:val="000000" w:themeColor="text1"/>
          <w:lang w:val="es-ES"/>
        </w:rPr>
        <w:t>32</w:t>
      </w:r>
      <w:r>
        <w:rPr>
          <w:rFonts w:ascii="Century Gothic" w:eastAsia="Batang" w:hAnsi="Century Gothic" w:cs="Aparajita"/>
          <w:i/>
          <w:color w:val="000000" w:themeColor="text1"/>
          <w:lang w:val="es-ES"/>
        </w:rPr>
        <w:t>-202</w:t>
      </w:r>
      <w:r w:rsidR="00D6757E">
        <w:rPr>
          <w:rFonts w:ascii="Century Gothic" w:eastAsia="Batang" w:hAnsi="Century Gothic" w:cs="Aparajita"/>
          <w:i/>
          <w:color w:val="000000" w:themeColor="text1"/>
          <w:lang w:val="es-ES"/>
        </w:rPr>
        <w:t>3/GOB.REG.HVCA/DIRESA-HPT-AGC</w:t>
      </w:r>
      <w:r>
        <w:rPr>
          <w:rFonts w:ascii="Century Gothic" w:eastAsia="Batang" w:hAnsi="Century Gothic" w:cs="Aparajita"/>
          <w:i/>
          <w:color w:val="000000" w:themeColor="text1"/>
          <w:lang w:val="es-ES"/>
        </w:rPr>
        <w:t xml:space="preserve">, se solicita </w:t>
      </w:r>
      <w:r w:rsidR="00D6757E">
        <w:rPr>
          <w:rFonts w:ascii="Century Gothic" w:eastAsia="Batang" w:hAnsi="Century Gothic" w:cs="Aparajita"/>
          <w:i/>
          <w:color w:val="000000" w:themeColor="text1"/>
          <w:lang w:val="es-ES"/>
        </w:rPr>
        <w:t>emitir resolución de aprobación para</w:t>
      </w:r>
      <w:r w:rsidR="009667F5" w:rsidRPr="009667F5">
        <w:rPr>
          <w:rFonts w:ascii="Century Gothic" w:eastAsia="Batang" w:hAnsi="Century Gothic" w:cs="Aparajita"/>
          <w:b/>
          <w:i/>
          <w:color w:val="000000" w:themeColor="text1"/>
          <w:szCs w:val="21"/>
          <w:lang w:val="es-ES" w:eastAsia="es-ES"/>
        </w:rPr>
        <w:t xml:space="preserve"> </w:t>
      </w:r>
      <w:r w:rsidR="001F2DA6">
        <w:rPr>
          <w:rFonts w:ascii="Century Gothic" w:eastAsia="Batang" w:hAnsi="Century Gothic" w:cs="Aparajita"/>
          <w:b/>
          <w:i/>
          <w:color w:val="000000" w:themeColor="text1"/>
          <w:szCs w:val="21"/>
          <w:lang w:val="es-ES" w:eastAsia="es-ES"/>
        </w:rPr>
        <w:t>EL</w:t>
      </w:r>
      <w:r w:rsidR="001F2DA6" w:rsidRPr="009400D3">
        <w:rPr>
          <w:rFonts w:ascii="Century Gothic" w:eastAsia="Batang" w:hAnsi="Century Gothic" w:cs="Aparajita"/>
          <w:b/>
          <w:i/>
          <w:color w:val="000000" w:themeColor="text1"/>
          <w:szCs w:val="21"/>
          <w:lang w:val="es-ES" w:eastAsia="es-ES"/>
        </w:rPr>
        <w:t xml:space="preserve"> </w:t>
      </w:r>
      <w:r w:rsidR="001F2DA6">
        <w:rPr>
          <w:rFonts w:ascii="Century Gothic" w:eastAsia="Batang" w:hAnsi="Century Gothic" w:cs="Aparajita"/>
          <w:b/>
          <w:i/>
          <w:color w:val="000000" w:themeColor="text1"/>
          <w:szCs w:val="21"/>
          <w:lang w:val="es-ES" w:eastAsia="es-ES"/>
        </w:rPr>
        <w:t>CRONOGRAMA ANUAL DE</w:t>
      </w:r>
      <w:r w:rsidR="001F2DA6" w:rsidRPr="00A64E98">
        <w:rPr>
          <w:rFonts w:ascii="Century Gothic" w:eastAsia="Batang" w:hAnsi="Century Gothic" w:cs="Aparajita"/>
          <w:b/>
          <w:i/>
          <w:color w:val="000000" w:themeColor="text1"/>
          <w:szCs w:val="21"/>
          <w:lang w:val="es-ES" w:eastAsia="es-ES"/>
        </w:rPr>
        <w:t xml:space="preserve"> RO</w:t>
      </w:r>
      <w:r w:rsidR="001F2DA6">
        <w:rPr>
          <w:rFonts w:ascii="Century Gothic" w:eastAsia="Batang" w:hAnsi="Century Gothic" w:cs="Aparajita"/>
          <w:b/>
          <w:i/>
          <w:color w:val="000000" w:themeColor="text1"/>
          <w:szCs w:val="21"/>
          <w:lang w:val="es-ES" w:eastAsia="es-ES"/>
        </w:rPr>
        <w:t>NDAS DE SEGURIDAD DEL PACIENTE DEL HOSPITAL DE PAMPAS TAYACAJA</w:t>
      </w:r>
      <w:r w:rsidR="001F2DA6">
        <w:rPr>
          <w:rFonts w:ascii="Century Gothic" w:eastAsia="Batang" w:hAnsi="Century Gothic" w:cs="Aparajita"/>
          <w:i/>
          <w:color w:val="000000" w:themeColor="text1"/>
          <w:lang w:val="es-ES"/>
        </w:rPr>
        <w:t>,</w:t>
      </w:r>
      <w:r w:rsidR="009C2F28">
        <w:rPr>
          <w:rFonts w:ascii="Century Gothic" w:eastAsia="Batang" w:hAnsi="Century Gothic" w:cs="Aparajita"/>
          <w:i/>
          <w:color w:val="000000" w:themeColor="text1"/>
          <w:lang w:val="es-ES"/>
        </w:rPr>
        <w:t xml:space="preserve"> acompañada con </w:t>
      </w:r>
      <w:proofErr w:type="gramStart"/>
      <w:r w:rsidR="009C2F28">
        <w:rPr>
          <w:rFonts w:ascii="Century Gothic" w:eastAsia="Batang" w:hAnsi="Century Gothic" w:cs="Aparajita"/>
          <w:i/>
          <w:color w:val="000000" w:themeColor="text1"/>
          <w:lang w:val="es-ES"/>
        </w:rPr>
        <w:t>un  01</w:t>
      </w:r>
      <w:proofErr w:type="gramEnd"/>
      <w:r w:rsidR="009C2F28">
        <w:rPr>
          <w:rFonts w:ascii="Century Gothic" w:eastAsia="Batang" w:hAnsi="Century Gothic" w:cs="Aparajita"/>
          <w:i/>
          <w:color w:val="000000" w:themeColor="text1"/>
          <w:lang w:val="es-ES"/>
        </w:rPr>
        <w:t xml:space="preserve"> folio, donde se encuentra el cuadro de cronogramas, </w:t>
      </w:r>
      <w:r w:rsidR="001F2DA6">
        <w:rPr>
          <w:rFonts w:ascii="Century Gothic" w:eastAsia="Batang" w:hAnsi="Century Gothic" w:cs="Aparajita"/>
          <w:i/>
          <w:color w:val="000000" w:themeColor="text1"/>
          <w:lang w:val="es-ES"/>
        </w:rPr>
        <w:t xml:space="preserve"> </w:t>
      </w:r>
      <w:r>
        <w:rPr>
          <w:rFonts w:ascii="Century Gothic" w:eastAsia="Batang" w:hAnsi="Century Gothic" w:cs="Aparajita"/>
          <w:i/>
          <w:color w:val="000000" w:themeColor="text1"/>
          <w:lang w:val="es-ES"/>
        </w:rPr>
        <w:t>a razón de que es importante para</w:t>
      </w:r>
      <w:r w:rsidR="00F853CC">
        <w:rPr>
          <w:rFonts w:ascii="Century Gothic" w:eastAsia="Batang" w:hAnsi="Century Gothic" w:cs="Aparajita"/>
          <w:i/>
          <w:color w:val="000000" w:themeColor="text1"/>
          <w:lang w:val="es-ES"/>
        </w:rPr>
        <w:t xml:space="preserve"> continuar adecuadamente con las activid</w:t>
      </w:r>
      <w:r w:rsidR="009667F5">
        <w:rPr>
          <w:rFonts w:ascii="Century Gothic" w:eastAsia="Batang" w:hAnsi="Century Gothic" w:cs="Aparajita"/>
          <w:i/>
          <w:color w:val="000000" w:themeColor="text1"/>
          <w:lang w:val="es-ES"/>
        </w:rPr>
        <w:t xml:space="preserve">ades respectivas de dicha </w:t>
      </w:r>
      <w:r w:rsidR="009E404A">
        <w:rPr>
          <w:rFonts w:ascii="Century Gothic" w:eastAsia="Batang" w:hAnsi="Century Gothic" w:cs="Aparajita"/>
          <w:i/>
          <w:color w:val="000000" w:themeColor="text1"/>
          <w:lang w:val="es-ES"/>
        </w:rPr>
        <w:t>gestión</w:t>
      </w:r>
      <w:r w:rsidR="00A64E98">
        <w:rPr>
          <w:rFonts w:ascii="Century Gothic" w:eastAsia="Batang" w:hAnsi="Century Gothic" w:cs="Aparajita"/>
          <w:i/>
          <w:color w:val="000000" w:themeColor="text1"/>
          <w:lang w:val="es-ES"/>
        </w:rPr>
        <w:t xml:space="preserve"> en mención;</w:t>
      </w:r>
    </w:p>
    <w:p w:rsidR="00A64E98" w:rsidRDefault="00A64E98">
      <w:pPr>
        <w:spacing w:after="0" w:line="240" w:lineRule="auto"/>
        <w:ind w:firstLine="709"/>
        <w:jc w:val="both"/>
        <w:rPr>
          <w:rFonts w:ascii="Century Gothic" w:eastAsia="Batang" w:hAnsi="Century Gothic" w:cs="Aparajita"/>
          <w:i/>
          <w:color w:val="000000" w:themeColor="text1"/>
          <w:lang w:val="es-ES"/>
        </w:rPr>
      </w:pPr>
    </w:p>
    <w:p w:rsidR="00052462" w:rsidRDefault="003E36FC">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5A568F" w:rsidRDefault="003E36FC" w:rsidP="00111D68">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w:t>
      </w:r>
      <w:r w:rsidR="00111D68">
        <w:rPr>
          <w:rFonts w:ascii="Century Gothic" w:eastAsia="Batang" w:hAnsi="Century Gothic" w:cs="Aparajita"/>
          <w:i/>
          <w:color w:val="000000" w:themeColor="text1"/>
          <w:szCs w:val="21"/>
          <w:lang w:val="es-ES"/>
        </w:rPr>
        <w:t xml:space="preserve"> la unidad de Asesoría Jurídica, unidad de gestión de calidad, </w:t>
      </w:r>
      <w:r>
        <w:rPr>
          <w:rFonts w:ascii="Century Gothic" w:eastAsia="Batang" w:hAnsi="Century Gothic" w:cs="Aparajita"/>
          <w:i/>
          <w:color w:val="000000" w:themeColor="text1"/>
          <w:szCs w:val="21"/>
          <w:lang w:val="es-ES"/>
        </w:rPr>
        <w:t xml:space="preserve">del Hospital de pampas; </w:t>
      </w:r>
    </w:p>
    <w:p w:rsidR="009667F5" w:rsidRDefault="009667F5">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052462" w:rsidRDefault="003E36FC">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052462" w:rsidRDefault="00052462">
      <w:pPr>
        <w:spacing w:after="0" w:line="240" w:lineRule="auto"/>
        <w:jc w:val="both"/>
        <w:rPr>
          <w:rFonts w:ascii="Century Gothic" w:eastAsia="Batang" w:hAnsi="Century Gothic" w:cs="Aparajita"/>
          <w:b/>
          <w:i/>
          <w:color w:val="000000" w:themeColor="text1"/>
          <w:sz w:val="21"/>
          <w:szCs w:val="21"/>
          <w:lang w:val="es-ES" w:eastAsia="es-ES"/>
        </w:rPr>
      </w:pPr>
    </w:p>
    <w:p w:rsidR="00052462" w:rsidRDefault="003E36FC">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ARTICULO 1º APROBACIÓN,</w:t>
      </w:r>
      <w:r w:rsidR="007854A7">
        <w:rPr>
          <w:rFonts w:ascii="Century Gothic" w:eastAsia="Batang" w:hAnsi="Century Gothic" w:cs="Aparajita"/>
          <w:b/>
          <w:i/>
          <w:color w:val="000000" w:themeColor="text1"/>
          <w:szCs w:val="21"/>
          <w:lang w:val="es-ES" w:eastAsia="es-ES"/>
        </w:rPr>
        <w:t xml:space="preserve"> </w:t>
      </w:r>
      <w:r w:rsidR="001F2DA6">
        <w:rPr>
          <w:rFonts w:ascii="Century Gothic" w:eastAsia="Batang" w:hAnsi="Century Gothic" w:cs="Aparajita"/>
          <w:b/>
          <w:i/>
          <w:color w:val="000000" w:themeColor="text1"/>
          <w:szCs w:val="21"/>
          <w:lang w:val="es-ES" w:eastAsia="es-ES"/>
        </w:rPr>
        <w:t>EL</w:t>
      </w:r>
      <w:r w:rsidR="001F2DA6" w:rsidRPr="009400D3">
        <w:rPr>
          <w:rFonts w:ascii="Century Gothic" w:eastAsia="Batang" w:hAnsi="Century Gothic" w:cs="Aparajita"/>
          <w:b/>
          <w:i/>
          <w:color w:val="000000" w:themeColor="text1"/>
          <w:szCs w:val="21"/>
          <w:lang w:val="es-ES" w:eastAsia="es-ES"/>
        </w:rPr>
        <w:t xml:space="preserve"> </w:t>
      </w:r>
      <w:r w:rsidR="001F2DA6">
        <w:rPr>
          <w:rFonts w:ascii="Century Gothic" w:eastAsia="Batang" w:hAnsi="Century Gothic" w:cs="Aparajita"/>
          <w:b/>
          <w:i/>
          <w:color w:val="000000" w:themeColor="text1"/>
          <w:szCs w:val="21"/>
          <w:lang w:val="es-ES" w:eastAsia="es-ES"/>
        </w:rPr>
        <w:t>CRONOGRAMA ANUAL DE</w:t>
      </w:r>
      <w:r w:rsidR="001F2DA6" w:rsidRPr="00A64E98">
        <w:rPr>
          <w:rFonts w:ascii="Century Gothic" w:eastAsia="Batang" w:hAnsi="Century Gothic" w:cs="Aparajita"/>
          <w:b/>
          <w:i/>
          <w:color w:val="000000" w:themeColor="text1"/>
          <w:szCs w:val="21"/>
          <w:lang w:val="es-ES" w:eastAsia="es-ES"/>
        </w:rPr>
        <w:t xml:space="preserve"> RO</w:t>
      </w:r>
      <w:r w:rsidR="001F2DA6">
        <w:rPr>
          <w:rFonts w:ascii="Century Gothic" w:eastAsia="Batang" w:hAnsi="Century Gothic" w:cs="Aparajita"/>
          <w:b/>
          <w:i/>
          <w:color w:val="000000" w:themeColor="text1"/>
          <w:szCs w:val="21"/>
          <w:lang w:val="es-ES" w:eastAsia="es-ES"/>
        </w:rPr>
        <w:t>NDAS DE SEGURIDAD DEL PACIENTE DEL HOSPITAL DE PAMPAS TAYACAJA</w:t>
      </w:r>
      <w:r w:rsidR="001F2DA6">
        <w:rPr>
          <w:rFonts w:ascii="Century Gothic" w:eastAsia="Batang" w:hAnsi="Century Gothic" w:cs="Aparajita"/>
          <w:i/>
          <w:color w:val="000000" w:themeColor="text1"/>
          <w:sz w:val="21"/>
          <w:szCs w:val="21"/>
          <w:lang w:val="es-ES" w:eastAsia="es-ES"/>
        </w:rPr>
        <w:t xml:space="preserve"> </w:t>
      </w:r>
      <w:r>
        <w:rPr>
          <w:rFonts w:ascii="Century Gothic" w:eastAsia="Batang" w:hAnsi="Century Gothic" w:cs="Aparajita"/>
          <w:i/>
          <w:color w:val="000000" w:themeColor="text1"/>
          <w:sz w:val="21"/>
          <w:szCs w:val="21"/>
          <w:lang w:val="es-ES" w:eastAsia="es-ES"/>
        </w:rPr>
        <w:t>de acuerdo al siguiente detalle:</w:t>
      </w:r>
    </w:p>
    <w:p w:rsidR="00A10936" w:rsidRDefault="00A10936" w:rsidP="001F29E4">
      <w:pPr>
        <w:pStyle w:val="Textoindependiente"/>
        <w:spacing w:after="0" w:line="240" w:lineRule="auto"/>
        <w:jc w:val="both"/>
        <w:rPr>
          <w:rFonts w:ascii="Century Gothic" w:eastAsia="Batang" w:hAnsi="Century Gothic" w:cs="Aparajita"/>
          <w:b/>
          <w:i/>
          <w:color w:val="000000" w:themeColor="text1"/>
          <w:lang w:val="es-ES"/>
        </w:rPr>
      </w:pPr>
    </w:p>
    <w:p w:rsidR="00A10936" w:rsidRPr="005A568F" w:rsidRDefault="00A10936" w:rsidP="001F29E4">
      <w:pPr>
        <w:pStyle w:val="Textoindependiente"/>
        <w:spacing w:after="0" w:line="240" w:lineRule="auto"/>
        <w:jc w:val="both"/>
        <w:rPr>
          <w:rFonts w:ascii="Century Gothic" w:eastAsia="Batang" w:hAnsi="Century Gothic" w:cs="Aparajita"/>
          <w:b/>
          <w:i/>
          <w:color w:val="000000" w:themeColor="text1"/>
          <w:lang w:val="es-ES"/>
        </w:rPr>
      </w:pPr>
    </w:p>
    <w:p w:rsidR="00052462" w:rsidRDefault="003E36FC">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052462" w:rsidRDefault="00052462">
      <w:pPr>
        <w:pStyle w:val="Textoindependiente"/>
        <w:spacing w:after="0" w:line="240" w:lineRule="auto"/>
        <w:ind w:firstLine="709"/>
        <w:jc w:val="both"/>
        <w:rPr>
          <w:rFonts w:ascii="Century Gothic" w:eastAsia="Batang" w:hAnsi="Century Gothic" w:cs="Aparajita"/>
          <w:i/>
          <w:color w:val="000000" w:themeColor="text1"/>
          <w:lang w:val="es-ES"/>
        </w:rPr>
      </w:pPr>
    </w:p>
    <w:p w:rsidR="00052462" w:rsidRDefault="003E36FC">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052462" w:rsidRDefault="00052462">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052462" w:rsidRDefault="003E36FC">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052462" w:rsidRDefault="00052462">
      <w:pPr>
        <w:autoSpaceDE w:val="0"/>
        <w:autoSpaceDN w:val="0"/>
        <w:adjustRightInd w:val="0"/>
        <w:spacing w:after="0" w:line="240" w:lineRule="auto"/>
        <w:jc w:val="center"/>
        <w:rPr>
          <w:rFonts w:ascii="Century Gothic" w:hAnsi="Century Gothic" w:cs="Aparajita"/>
          <w:i/>
          <w:color w:val="000000" w:themeColor="text1"/>
          <w:sz w:val="20"/>
          <w:szCs w:val="20"/>
        </w:rPr>
      </w:pPr>
    </w:p>
    <w:p w:rsidR="00052462" w:rsidRDefault="00052462">
      <w:pPr>
        <w:spacing w:after="0" w:line="240" w:lineRule="auto"/>
        <w:rPr>
          <w:rFonts w:ascii="Century Gothic" w:hAnsi="Century Gothic" w:cs="Aparajita"/>
          <w:i/>
          <w:color w:val="000000" w:themeColor="text1"/>
          <w:sz w:val="20"/>
          <w:szCs w:val="20"/>
        </w:rPr>
      </w:pPr>
    </w:p>
    <w:p w:rsidR="00052462" w:rsidRDefault="00052462">
      <w:pPr>
        <w:spacing w:after="0" w:line="240" w:lineRule="auto"/>
        <w:rPr>
          <w:rFonts w:ascii="Century Gothic" w:hAnsi="Century Gothic" w:cs="Aparajita"/>
          <w:i/>
          <w:color w:val="000000" w:themeColor="text1"/>
          <w:sz w:val="20"/>
          <w:szCs w:val="20"/>
        </w:rPr>
      </w:pPr>
    </w:p>
    <w:p w:rsidR="00052462" w:rsidRDefault="00052462">
      <w:pPr>
        <w:pStyle w:val="Sinespaciado"/>
        <w:rPr>
          <w:rFonts w:ascii="Arial" w:hAnsi="Arial" w:cs="Arial"/>
          <w:sz w:val="18"/>
        </w:rPr>
      </w:pPr>
    </w:p>
    <w:p w:rsidR="00A64E98" w:rsidRPr="009C2F28" w:rsidRDefault="003E36FC" w:rsidP="009C2F28">
      <w:pPr>
        <w:pStyle w:val="Sinespaciado"/>
        <w:rPr>
          <w:rFonts w:ascii="Arial" w:hAnsi="Arial" w:cs="Arial"/>
          <w:sz w:val="18"/>
        </w:rPr>
      </w:pPr>
      <w:r>
        <w:rPr>
          <w:rFonts w:ascii="Arial" w:hAnsi="Arial" w:cs="Arial"/>
          <w:sz w:val="18"/>
        </w:rPr>
        <w:t xml:space="preserve">Nuevo Reg. Documento: </w:t>
      </w:r>
      <w:r w:rsidR="00D91B5B">
        <w:rPr>
          <w:rFonts w:ascii="Arial" w:hAnsi="Arial" w:cs="Arial"/>
          <w:b/>
          <w:bCs/>
          <w:color w:val="006CA0"/>
          <w:sz w:val="20"/>
          <w:szCs w:val="20"/>
          <w:shd w:val="clear" w:color="auto" w:fill="99CCFF"/>
        </w:rPr>
        <w:t>02584279</w:t>
      </w:r>
      <w:r>
        <w:rPr>
          <w:rFonts w:ascii="Arial" w:hAnsi="Arial" w:cs="Arial"/>
          <w:sz w:val="18"/>
        </w:rPr>
        <w:br/>
        <w:t xml:space="preserve">Nuevo Reg. Expediente: </w:t>
      </w:r>
      <w:r w:rsidR="00D91B5B">
        <w:rPr>
          <w:rFonts w:ascii="Arial" w:hAnsi="Arial" w:cs="Arial"/>
          <w:b/>
          <w:bCs/>
          <w:color w:val="006CA0"/>
          <w:sz w:val="20"/>
          <w:szCs w:val="20"/>
          <w:shd w:val="clear" w:color="auto" w:fill="99CCFF"/>
        </w:rPr>
        <w:t>01907331</w:t>
      </w:r>
      <w:bookmarkStart w:id="0" w:name="_GoBack"/>
      <w:bookmarkEnd w:id="0"/>
    </w:p>
    <w:sectPr w:rsidR="00A64E98" w:rsidRPr="009C2F28">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91D" w:rsidRDefault="00AF591D">
      <w:pPr>
        <w:spacing w:line="240" w:lineRule="auto"/>
      </w:pPr>
      <w:r>
        <w:separator/>
      </w:r>
    </w:p>
  </w:endnote>
  <w:endnote w:type="continuationSeparator" w:id="0">
    <w:p w:rsidR="00AF591D" w:rsidRDefault="00AF5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91D" w:rsidRDefault="00AF591D">
      <w:pPr>
        <w:spacing w:after="0"/>
      </w:pPr>
      <w:r>
        <w:separator/>
      </w:r>
    </w:p>
  </w:footnote>
  <w:footnote w:type="continuationSeparator" w:id="0">
    <w:p w:rsidR="00AF591D" w:rsidRDefault="00AF591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D4584"/>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2DA6"/>
    <w:rsid w:val="001F6370"/>
    <w:rsid w:val="00203AC4"/>
    <w:rsid w:val="00204590"/>
    <w:rsid w:val="0021013F"/>
    <w:rsid w:val="0022248F"/>
    <w:rsid w:val="002700C6"/>
    <w:rsid w:val="002800FF"/>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A6E4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8024AF"/>
    <w:rsid w:val="0080538A"/>
    <w:rsid w:val="0081111D"/>
    <w:rsid w:val="00836ADA"/>
    <w:rsid w:val="008C0049"/>
    <w:rsid w:val="008C2ADD"/>
    <w:rsid w:val="008C6209"/>
    <w:rsid w:val="008C7367"/>
    <w:rsid w:val="008D4431"/>
    <w:rsid w:val="008E0318"/>
    <w:rsid w:val="008F4041"/>
    <w:rsid w:val="009251D2"/>
    <w:rsid w:val="009400D3"/>
    <w:rsid w:val="00941443"/>
    <w:rsid w:val="009549C2"/>
    <w:rsid w:val="009667F5"/>
    <w:rsid w:val="00973BEF"/>
    <w:rsid w:val="00977784"/>
    <w:rsid w:val="0098770B"/>
    <w:rsid w:val="009A2A9A"/>
    <w:rsid w:val="009B5B9C"/>
    <w:rsid w:val="009B5D7E"/>
    <w:rsid w:val="009B6D73"/>
    <w:rsid w:val="009B72DF"/>
    <w:rsid w:val="009C2F28"/>
    <w:rsid w:val="009D3D74"/>
    <w:rsid w:val="009E404A"/>
    <w:rsid w:val="009E4766"/>
    <w:rsid w:val="00A10936"/>
    <w:rsid w:val="00A11B33"/>
    <w:rsid w:val="00A12930"/>
    <w:rsid w:val="00A20714"/>
    <w:rsid w:val="00A64E98"/>
    <w:rsid w:val="00A722C3"/>
    <w:rsid w:val="00A743D2"/>
    <w:rsid w:val="00A86B0B"/>
    <w:rsid w:val="00AA7F25"/>
    <w:rsid w:val="00AB0C18"/>
    <w:rsid w:val="00AC753E"/>
    <w:rsid w:val="00AF591D"/>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32CF"/>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91B5B"/>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469E8"/>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854C"/>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40C225-42E6-410B-A407-88A96109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767</Words>
  <Characters>4376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7</cp:revision>
  <cp:lastPrinted>2022-01-31T22:34:00Z</cp:lastPrinted>
  <dcterms:created xsi:type="dcterms:W3CDTF">2023-03-06T17:55:00Z</dcterms:created>
  <dcterms:modified xsi:type="dcterms:W3CDTF">2023-03-07T17:45:00Z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