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993" w:rsidRPr="003A2478" w:rsidRDefault="00182993" w:rsidP="00182993">
      <w:pPr>
        <w:ind w:left="-142" w:right="-142"/>
        <w:jc w:val="center"/>
        <w:rPr>
          <w:rFonts w:ascii="Aparajita" w:hAnsi="Aparajita" w:cs="Aparajita"/>
          <w:b/>
          <w:i/>
          <w:sz w:val="34"/>
          <w:szCs w:val="34"/>
        </w:rPr>
      </w:pPr>
      <w:r w:rsidRPr="003A2478">
        <w:rPr>
          <w:rFonts w:ascii="Aparajita" w:hAnsi="Aparajita" w:cs="Aparajita"/>
          <w:b/>
          <w:i/>
          <w:sz w:val="34"/>
          <w:szCs w:val="34"/>
        </w:rPr>
        <w:t>RESOLUCI</w:t>
      </w:r>
      <w:r w:rsidRPr="005453D5">
        <w:rPr>
          <w:rFonts w:ascii="Aparajita" w:hAnsi="Aparajita" w:cs="Aparajita"/>
          <w:b/>
          <w:i/>
          <w:sz w:val="34"/>
          <w:szCs w:val="34"/>
        </w:rPr>
        <w:t>Ó</w:t>
      </w:r>
      <w:r w:rsidRPr="003A2478">
        <w:rPr>
          <w:rFonts w:ascii="Aparajita" w:hAnsi="Aparajita" w:cs="Aparajita"/>
          <w:b/>
          <w:i/>
          <w:sz w:val="34"/>
          <w:szCs w:val="34"/>
        </w:rPr>
        <w:t>N DIRECTORAL</w:t>
      </w:r>
    </w:p>
    <w:p w:rsidR="00182993" w:rsidRPr="003A2478" w:rsidRDefault="00182993" w:rsidP="00182993">
      <w:pPr>
        <w:pStyle w:val="Encabezado"/>
        <w:tabs>
          <w:tab w:val="clear" w:pos="4252"/>
          <w:tab w:val="clear" w:pos="8504"/>
          <w:tab w:val="left" w:pos="6105"/>
        </w:tabs>
        <w:ind w:left="-142" w:right="-142"/>
        <w:jc w:val="center"/>
        <w:rPr>
          <w:rFonts w:ascii="Aparajita" w:hAnsi="Aparajita" w:cs="Aparajita"/>
          <w:b/>
          <w:i/>
          <w:sz w:val="34"/>
          <w:szCs w:val="34"/>
        </w:rPr>
      </w:pPr>
      <w:r>
        <w:rPr>
          <w:rFonts w:ascii="Aparajita" w:hAnsi="Aparajita" w:cs="Aparajita"/>
          <w:b/>
          <w:i/>
          <w:sz w:val="34"/>
          <w:szCs w:val="34"/>
        </w:rPr>
        <w:t>N</w:t>
      </w:r>
      <w:r w:rsidR="0052041C">
        <w:rPr>
          <w:rFonts w:ascii="Aparajita" w:hAnsi="Aparajita" w:cs="Aparajita"/>
          <w:b/>
          <w:i/>
          <w:sz w:val="34"/>
          <w:szCs w:val="34"/>
        </w:rPr>
        <w:t>°0</w:t>
      </w:r>
      <w:r w:rsidR="00CD2111">
        <w:rPr>
          <w:rFonts w:ascii="Aparajita" w:hAnsi="Aparajita" w:cs="Aparajita"/>
          <w:b/>
          <w:i/>
          <w:sz w:val="34"/>
          <w:szCs w:val="34"/>
        </w:rPr>
        <w:t>224</w:t>
      </w:r>
      <w:r w:rsidR="00A651C8">
        <w:rPr>
          <w:rFonts w:ascii="Aparajita" w:hAnsi="Aparajita" w:cs="Aparajita"/>
          <w:b/>
          <w:i/>
          <w:sz w:val="34"/>
          <w:szCs w:val="34"/>
        </w:rPr>
        <w:t>-</w:t>
      </w:r>
      <w:r w:rsidR="009B52EE">
        <w:rPr>
          <w:rFonts w:ascii="Aparajita" w:hAnsi="Aparajita" w:cs="Aparajita"/>
          <w:b/>
          <w:i/>
          <w:sz w:val="34"/>
          <w:szCs w:val="34"/>
        </w:rPr>
        <w:t>2023</w:t>
      </w:r>
      <w:r>
        <w:rPr>
          <w:rFonts w:ascii="Aparajita" w:hAnsi="Aparajita" w:cs="Aparajita"/>
          <w:b/>
          <w:i/>
          <w:sz w:val="34"/>
          <w:szCs w:val="34"/>
        </w:rPr>
        <w:t>/GOB.REG-HVCA</w:t>
      </w:r>
      <w:r w:rsidRPr="003A2478">
        <w:rPr>
          <w:rFonts w:ascii="Aparajita" w:hAnsi="Aparajita" w:cs="Aparajita"/>
          <w:b/>
          <w:i/>
          <w:sz w:val="34"/>
          <w:szCs w:val="34"/>
        </w:rPr>
        <w:t>/HPT</w:t>
      </w:r>
    </w:p>
    <w:p w:rsidR="00182993" w:rsidRPr="003A2478" w:rsidRDefault="00182993" w:rsidP="00182993">
      <w:pPr>
        <w:pStyle w:val="Encabezado"/>
        <w:tabs>
          <w:tab w:val="clear" w:pos="4252"/>
          <w:tab w:val="clear" w:pos="8504"/>
          <w:tab w:val="left" w:pos="6105"/>
        </w:tabs>
        <w:ind w:left="-142" w:right="-142"/>
        <w:rPr>
          <w:rFonts w:ascii="Century Gothic" w:hAnsi="Century Gothic"/>
          <w:b/>
          <w:i/>
          <w:sz w:val="22"/>
          <w:szCs w:val="18"/>
        </w:rPr>
      </w:pPr>
    </w:p>
    <w:p w:rsidR="00182993" w:rsidRPr="00947346" w:rsidRDefault="00182993" w:rsidP="00182993">
      <w:pPr>
        <w:ind w:left="-142" w:right="-142"/>
        <w:jc w:val="right"/>
        <w:rPr>
          <w:rFonts w:ascii="Century Gothic" w:hAnsi="Century Gothic" w:cs="Aparajita"/>
          <w:b/>
          <w:i/>
          <w:sz w:val="22"/>
          <w:szCs w:val="22"/>
        </w:rPr>
      </w:pPr>
      <w:r w:rsidRPr="00947346">
        <w:rPr>
          <w:rFonts w:ascii="Century Gothic" w:hAnsi="Century Gothic" w:cs="Aparajita"/>
          <w:b/>
          <w:i/>
          <w:sz w:val="22"/>
          <w:szCs w:val="22"/>
        </w:rPr>
        <w:t>Pampas,</w:t>
      </w:r>
      <w:r w:rsidR="008D7983">
        <w:rPr>
          <w:rFonts w:ascii="Century Gothic" w:hAnsi="Century Gothic" w:cs="Aparajita"/>
          <w:b/>
          <w:i/>
          <w:sz w:val="22"/>
          <w:szCs w:val="22"/>
        </w:rPr>
        <w:t>05</w:t>
      </w:r>
      <w:r w:rsidR="00BD4636">
        <w:rPr>
          <w:rFonts w:ascii="Century Gothic" w:hAnsi="Century Gothic" w:cs="Aparajita"/>
          <w:b/>
          <w:i/>
          <w:sz w:val="22"/>
          <w:szCs w:val="22"/>
        </w:rPr>
        <w:t xml:space="preserve"> </w:t>
      </w:r>
      <w:r w:rsidRPr="00947346">
        <w:rPr>
          <w:rFonts w:ascii="Century Gothic" w:hAnsi="Century Gothic" w:cs="Aparajita"/>
          <w:b/>
          <w:i/>
          <w:sz w:val="22"/>
          <w:szCs w:val="22"/>
        </w:rPr>
        <w:t xml:space="preserve">de </w:t>
      </w:r>
      <w:r w:rsidR="006B5FCF">
        <w:rPr>
          <w:rFonts w:ascii="Century Gothic" w:hAnsi="Century Gothic" w:cs="Aparajita"/>
          <w:b/>
          <w:i/>
          <w:sz w:val="22"/>
          <w:szCs w:val="22"/>
        </w:rPr>
        <w:t>abril</w:t>
      </w:r>
      <w:r w:rsidR="006B5FCF" w:rsidRPr="00947346">
        <w:rPr>
          <w:rFonts w:ascii="Century Gothic" w:hAnsi="Century Gothic" w:cs="Aparajita"/>
          <w:b/>
          <w:i/>
          <w:sz w:val="22"/>
          <w:szCs w:val="22"/>
        </w:rPr>
        <w:t xml:space="preserve"> </w:t>
      </w:r>
      <w:r w:rsidR="0052041C">
        <w:rPr>
          <w:rFonts w:ascii="Century Gothic" w:hAnsi="Century Gothic" w:cs="Aparajita"/>
          <w:b/>
          <w:i/>
          <w:sz w:val="22"/>
          <w:szCs w:val="22"/>
        </w:rPr>
        <w:t>de 2023</w:t>
      </w:r>
    </w:p>
    <w:p w:rsidR="00182993" w:rsidRPr="00947346" w:rsidRDefault="00182993" w:rsidP="00182993">
      <w:pPr>
        <w:ind w:left="-142" w:right="-142"/>
        <w:jc w:val="center"/>
        <w:rPr>
          <w:rFonts w:ascii="Century Gothic" w:hAnsi="Century Gothic" w:cs="Arial"/>
          <w:b/>
          <w:i/>
          <w:sz w:val="22"/>
          <w:szCs w:val="22"/>
        </w:rPr>
      </w:pPr>
    </w:p>
    <w:p w:rsidR="00182993" w:rsidRPr="00947346" w:rsidRDefault="00182993" w:rsidP="00182993">
      <w:pPr>
        <w:ind w:left="-142" w:right="-142"/>
        <w:rPr>
          <w:rFonts w:ascii="Century Gothic" w:hAnsi="Century Gothic" w:cs="Aparajita"/>
          <w:b/>
          <w:i/>
          <w:sz w:val="22"/>
          <w:szCs w:val="22"/>
        </w:rPr>
      </w:pPr>
      <w:r w:rsidRPr="00947346">
        <w:rPr>
          <w:rFonts w:ascii="Century Gothic" w:hAnsi="Century Gothic" w:cs="Aparajita"/>
          <w:b/>
          <w:i/>
          <w:sz w:val="22"/>
          <w:szCs w:val="22"/>
        </w:rPr>
        <w:t>VISTO:</w:t>
      </w:r>
    </w:p>
    <w:p w:rsidR="00182993" w:rsidRPr="003A2478" w:rsidRDefault="00184248" w:rsidP="00182993">
      <w:pPr>
        <w:ind w:left="-142" w:right="-142" w:firstLine="850"/>
        <w:jc w:val="both"/>
        <w:rPr>
          <w:rFonts w:ascii="Century Gothic" w:hAnsi="Century Gothic" w:cs="Aparajita"/>
          <w:i/>
          <w:sz w:val="22"/>
          <w:szCs w:val="22"/>
        </w:rPr>
      </w:pPr>
      <w:r>
        <w:rPr>
          <w:rFonts w:ascii="Century Gothic" w:hAnsi="Century Gothic" w:cs="Aparajita"/>
          <w:i/>
          <w:sz w:val="22"/>
          <w:szCs w:val="22"/>
        </w:rPr>
        <w:t>El</w:t>
      </w:r>
      <w:r w:rsidR="004E6C45">
        <w:rPr>
          <w:rFonts w:ascii="Century Gothic" w:hAnsi="Century Gothic" w:cs="Aparajita"/>
          <w:i/>
          <w:sz w:val="22"/>
          <w:szCs w:val="22"/>
        </w:rPr>
        <w:t xml:space="preserve"> MEMORANDO Nº 0116- 2023/GOB.REG-HVCA/HUANCAVELICA-HPT-OA, de fecha 05 de abril del 2023, suscrito por la C.P.C. </w:t>
      </w:r>
      <w:proofErr w:type="spellStart"/>
      <w:r w:rsidR="004E6C45">
        <w:rPr>
          <w:rFonts w:ascii="Century Gothic" w:hAnsi="Century Gothic" w:cs="Aparajita"/>
          <w:i/>
          <w:sz w:val="22"/>
          <w:szCs w:val="22"/>
        </w:rPr>
        <w:t>Joseli</w:t>
      </w:r>
      <w:proofErr w:type="spellEnd"/>
      <w:r w:rsidR="004E6C45">
        <w:rPr>
          <w:rFonts w:ascii="Century Gothic" w:hAnsi="Century Gothic" w:cs="Aparajita"/>
          <w:i/>
          <w:sz w:val="22"/>
          <w:szCs w:val="22"/>
        </w:rPr>
        <w:t xml:space="preserve"> </w:t>
      </w:r>
      <w:proofErr w:type="spellStart"/>
      <w:r w:rsidR="004E6C45">
        <w:rPr>
          <w:rFonts w:ascii="Century Gothic" w:hAnsi="Century Gothic" w:cs="Aparajita"/>
          <w:i/>
          <w:sz w:val="22"/>
          <w:szCs w:val="22"/>
        </w:rPr>
        <w:t>Asparren</w:t>
      </w:r>
      <w:proofErr w:type="spellEnd"/>
      <w:r w:rsidR="004E6C45">
        <w:rPr>
          <w:rFonts w:ascii="Century Gothic" w:hAnsi="Century Gothic" w:cs="Aparajita"/>
          <w:i/>
          <w:sz w:val="22"/>
          <w:szCs w:val="22"/>
        </w:rPr>
        <w:t xml:space="preserve"> Lujan Jefa de</w:t>
      </w:r>
      <w:r w:rsidR="008D7983">
        <w:rPr>
          <w:rFonts w:ascii="Century Gothic" w:hAnsi="Century Gothic" w:cs="Aparajita"/>
          <w:i/>
          <w:sz w:val="22"/>
          <w:szCs w:val="22"/>
        </w:rPr>
        <w:t>l Área de Administración</w:t>
      </w:r>
      <w:r w:rsidR="004E6C45">
        <w:rPr>
          <w:rFonts w:ascii="Century Gothic" w:hAnsi="Century Gothic" w:cs="Aparajita"/>
          <w:i/>
          <w:sz w:val="22"/>
          <w:szCs w:val="22"/>
        </w:rPr>
        <w:t xml:space="preserve">, donde ordena </w:t>
      </w:r>
      <w:r w:rsidR="008D7983">
        <w:rPr>
          <w:rFonts w:ascii="Century Gothic" w:hAnsi="Century Gothic" w:cs="Aparajita"/>
          <w:i/>
          <w:sz w:val="22"/>
          <w:szCs w:val="22"/>
        </w:rPr>
        <w:t>la aprobación y acto resolutivo d</w:t>
      </w:r>
      <w:r w:rsidR="004E6C45">
        <w:rPr>
          <w:rFonts w:ascii="Century Gothic" w:hAnsi="Century Gothic" w:cs="Aparajita"/>
          <w:i/>
          <w:sz w:val="22"/>
          <w:szCs w:val="22"/>
        </w:rPr>
        <w:t xml:space="preserve">el </w:t>
      </w:r>
      <w:r w:rsidR="004E6C45" w:rsidRPr="005B1BFD">
        <w:rPr>
          <w:rFonts w:ascii="Century Gothic" w:hAnsi="Century Gothic" w:cs="Aparajita"/>
          <w:i/>
          <w:sz w:val="22"/>
          <w:szCs w:val="22"/>
        </w:rPr>
        <w:t>PLAN</w:t>
      </w:r>
      <w:r w:rsidR="004E6C45">
        <w:rPr>
          <w:rFonts w:ascii="Century Gothic" w:hAnsi="Century Gothic" w:cs="Aparajita"/>
          <w:i/>
          <w:sz w:val="22"/>
          <w:szCs w:val="22"/>
        </w:rPr>
        <w:t xml:space="preserve"> DE LIMPIEZA Y DESINFECCION DEL HOSPITAL DE PAMPAS – TAYACAJA; </w:t>
      </w:r>
    </w:p>
    <w:p w:rsidR="00182993" w:rsidRPr="003A2478" w:rsidRDefault="00182993" w:rsidP="00182993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182993" w:rsidRDefault="00182993" w:rsidP="00182993">
      <w:pPr>
        <w:ind w:left="-142" w:right="-142"/>
        <w:jc w:val="both"/>
        <w:rPr>
          <w:rFonts w:ascii="Century Gothic" w:hAnsi="Century Gothic" w:cs="Aparajita"/>
          <w:b/>
          <w:i/>
          <w:sz w:val="22"/>
          <w:szCs w:val="22"/>
        </w:rPr>
      </w:pPr>
      <w:r w:rsidRPr="003A2478">
        <w:rPr>
          <w:rFonts w:ascii="Century Gothic" w:hAnsi="Century Gothic" w:cs="Aparajita"/>
          <w:b/>
          <w:i/>
          <w:sz w:val="22"/>
          <w:szCs w:val="22"/>
        </w:rPr>
        <w:t>CONSIDERANDO:</w:t>
      </w:r>
    </w:p>
    <w:p w:rsidR="00182993" w:rsidRPr="003A2478" w:rsidRDefault="00182993" w:rsidP="00182993">
      <w:pPr>
        <w:ind w:left="-142" w:right="-142"/>
        <w:jc w:val="both"/>
        <w:rPr>
          <w:rFonts w:ascii="Century Gothic" w:hAnsi="Century Gothic" w:cs="Aparajita"/>
          <w:b/>
          <w:i/>
          <w:sz w:val="22"/>
          <w:szCs w:val="22"/>
        </w:rPr>
      </w:pPr>
    </w:p>
    <w:p w:rsidR="00182993" w:rsidRDefault="00182993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  <w:r w:rsidRPr="00220EC1">
        <w:rPr>
          <w:rFonts w:ascii="Century Gothic" w:eastAsia="Batang" w:hAnsi="Century Gothic" w:cs="Aparajita"/>
          <w:i/>
          <w:sz w:val="22"/>
          <w:szCs w:val="22"/>
        </w:rPr>
        <w:t xml:space="preserve">Que, los Gobiernos Regionales tienen autonomía política, económica y administrativa en asuntos de su competencia, conforme al artículo 2° de la Ley Nº 27867 – Ley Orgánica de Gobiernos Regionales, concordante con el artículo 191° de la Ley N° </w:t>
      </w:r>
      <w:r w:rsidR="00E2455B" w:rsidRPr="00220EC1">
        <w:rPr>
          <w:rFonts w:ascii="Century Gothic" w:eastAsia="Batang" w:hAnsi="Century Gothic" w:cs="Aparajita"/>
          <w:i/>
          <w:sz w:val="22"/>
          <w:szCs w:val="22"/>
        </w:rPr>
        <w:t>27680</w:t>
      </w:r>
      <w:r w:rsidR="00E2455B">
        <w:rPr>
          <w:rFonts w:ascii="Century Gothic" w:eastAsia="Batang" w:hAnsi="Century Gothic" w:cs="Aparajita"/>
          <w:i/>
          <w:sz w:val="22"/>
          <w:szCs w:val="22"/>
        </w:rPr>
        <w:t>;</w:t>
      </w:r>
    </w:p>
    <w:p w:rsidR="00182993" w:rsidRDefault="00182993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182993" w:rsidRDefault="00182993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  <w:r w:rsidRPr="003A2478">
        <w:rPr>
          <w:rFonts w:ascii="Century Gothic" w:eastAsia="Batang" w:hAnsi="Century Gothic" w:cs="Aparajita"/>
          <w:i/>
          <w:sz w:val="22"/>
          <w:szCs w:val="22"/>
        </w:rPr>
        <w:t>Que, mediante Ley N° 30281 – Ley de Presupuesto del Sector Publico para el año Fiscal 2015, se dispone la creación de la Unid</w:t>
      </w:r>
      <w:r>
        <w:rPr>
          <w:rFonts w:ascii="Century Gothic" w:eastAsia="Batang" w:hAnsi="Century Gothic" w:cs="Aparajita"/>
          <w:i/>
          <w:sz w:val="22"/>
          <w:szCs w:val="22"/>
        </w:rPr>
        <w:t xml:space="preserve">ad Ejecutora Hospital de Pampas de Tayacaja, </w:t>
      </w:r>
      <w:r w:rsidRPr="003A2478">
        <w:rPr>
          <w:rFonts w:ascii="Century Gothic" w:eastAsia="Batang" w:hAnsi="Century Gothic" w:cs="Aparajita"/>
          <w:i/>
          <w:sz w:val="22"/>
          <w:szCs w:val="22"/>
        </w:rPr>
        <w:t>en el Pliego Gobierno Regional de Huancavelica;</w:t>
      </w:r>
    </w:p>
    <w:p w:rsidR="00062358" w:rsidRDefault="00062358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2753AC" w:rsidRDefault="002753AC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  <w:r>
        <w:rPr>
          <w:rFonts w:ascii="Century Gothic" w:eastAsia="Batang" w:hAnsi="Century Gothic" w:cs="Aparajita"/>
          <w:i/>
          <w:sz w:val="22"/>
          <w:szCs w:val="22"/>
        </w:rPr>
        <w:t xml:space="preserve">Que, los numerales I y II del </w:t>
      </w:r>
      <w:r w:rsidR="00062358">
        <w:rPr>
          <w:rFonts w:ascii="Century Gothic" w:eastAsia="Batang" w:hAnsi="Century Gothic" w:cs="Aparajita"/>
          <w:i/>
          <w:sz w:val="22"/>
          <w:szCs w:val="22"/>
        </w:rPr>
        <w:t xml:space="preserve">Título Preliminar </w:t>
      </w:r>
      <w:r>
        <w:rPr>
          <w:rFonts w:ascii="Century Gothic" w:eastAsia="Batang" w:hAnsi="Century Gothic" w:cs="Aparajita"/>
          <w:i/>
          <w:sz w:val="22"/>
          <w:szCs w:val="22"/>
        </w:rPr>
        <w:t xml:space="preserve">de la ley Nº 26842, Ley general de </w:t>
      </w:r>
      <w:r w:rsidR="00062358">
        <w:rPr>
          <w:rFonts w:ascii="Century Gothic" w:eastAsia="Batang" w:hAnsi="Century Gothic" w:cs="Aparajita"/>
          <w:i/>
          <w:sz w:val="22"/>
          <w:szCs w:val="22"/>
        </w:rPr>
        <w:t>salud</w:t>
      </w:r>
      <w:r>
        <w:rPr>
          <w:rFonts w:ascii="Century Gothic" w:eastAsia="Batang" w:hAnsi="Century Gothic" w:cs="Aparajita"/>
          <w:i/>
          <w:sz w:val="22"/>
          <w:szCs w:val="22"/>
        </w:rPr>
        <w:t xml:space="preserve">, señalan que la salud es condición indispensable del desarrollo </w:t>
      </w:r>
      <w:r w:rsidR="00062358">
        <w:rPr>
          <w:rFonts w:ascii="Century Gothic" w:eastAsia="Batang" w:hAnsi="Century Gothic" w:cs="Aparajita"/>
          <w:i/>
          <w:sz w:val="22"/>
          <w:szCs w:val="22"/>
        </w:rPr>
        <w:t>humano</w:t>
      </w:r>
      <w:r>
        <w:rPr>
          <w:rFonts w:ascii="Century Gothic" w:eastAsia="Batang" w:hAnsi="Century Gothic" w:cs="Aparajita"/>
          <w:i/>
          <w:sz w:val="22"/>
          <w:szCs w:val="22"/>
        </w:rPr>
        <w:t xml:space="preserve"> y medio fundamental para </w:t>
      </w:r>
      <w:r w:rsidR="00062358">
        <w:rPr>
          <w:rFonts w:ascii="Century Gothic" w:eastAsia="Batang" w:hAnsi="Century Gothic" w:cs="Aparajita"/>
          <w:i/>
          <w:sz w:val="22"/>
          <w:szCs w:val="22"/>
        </w:rPr>
        <w:t>alcanzar</w:t>
      </w:r>
      <w:r>
        <w:rPr>
          <w:rFonts w:ascii="Century Gothic" w:eastAsia="Batang" w:hAnsi="Century Gothic" w:cs="Aparajita"/>
          <w:i/>
          <w:sz w:val="22"/>
          <w:szCs w:val="22"/>
        </w:rPr>
        <w:t xml:space="preserve"> el </w:t>
      </w:r>
      <w:r w:rsidR="00062358">
        <w:rPr>
          <w:rFonts w:ascii="Century Gothic" w:eastAsia="Batang" w:hAnsi="Century Gothic" w:cs="Aparajita"/>
          <w:i/>
          <w:sz w:val="22"/>
          <w:szCs w:val="22"/>
        </w:rPr>
        <w:t>bienestar</w:t>
      </w:r>
      <w:r>
        <w:rPr>
          <w:rFonts w:ascii="Century Gothic" w:eastAsia="Batang" w:hAnsi="Century Gothic" w:cs="Aparajita"/>
          <w:i/>
          <w:sz w:val="22"/>
          <w:szCs w:val="22"/>
        </w:rPr>
        <w:t xml:space="preserve"> </w:t>
      </w:r>
      <w:r w:rsidR="00062358">
        <w:rPr>
          <w:rFonts w:ascii="Century Gothic" w:eastAsia="Batang" w:hAnsi="Century Gothic" w:cs="Aparajita"/>
          <w:i/>
          <w:sz w:val="22"/>
          <w:szCs w:val="22"/>
        </w:rPr>
        <w:t>individual</w:t>
      </w:r>
      <w:r>
        <w:rPr>
          <w:rFonts w:ascii="Century Gothic" w:eastAsia="Batang" w:hAnsi="Century Gothic" w:cs="Aparajita"/>
          <w:i/>
          <w:sz w:val="22"/>
          <w:szCs w:val="22"/>
        </w:rPr>
        <w:t xml:space="preserve"> y colectivo, por lo que</w:t>
      </w:r>
      <w:r w:rsidR="00715E2B">
        <w:rPr>
          <w:rFonts w:ascii="Century Gothic" w:eastAsia="Batang" w:hAnsi="Century Gothic" w:cs="Aparajita"/>
          <w:i/>
          <w:sz w:val="22"/>
          <w:szCs w:val="22"/>
        </w:rPr>
        <w:t xml:space="preserve"> la</w:t>
      </w:r>
      <w:r>
        <w:rPr>
          <w:rFonts w:ascii="Century Gothic" w:eastAsia="Batang" w:hAnsi="Century Gothic" w:cs="Aparajita"/>
          <w:i/>
          <w:sz w:val="22"/>
          <w:szCs w:val="22"/>
        </w:rPr>
        <w:t xml:space="preserve"> protección de la salud es de interés </w:t>
      </w:r>
      <w:r w:rsidR="00062358">
        <w:rPr>
          <w:rFonts w:ascii="Century Gothic" w:eastAsia="Batang" w:hAnsi="Century Gothic" w:cs="Aparajita"/>
          <w:i/>
          <w:sz w:val="22"/>
          <w:szCs w:val="22"/>
        </w:rPr>
        <w:t>público</w:t>
      </w:r>
      <w:r>
        <w:rPr>
          <w:rFonts w:ascii="Century Gothic" w:eastAsia="Batang" w:hAnsi="Century Gothic" w:cs="Aparajita"/>
          <w:i/>
          <w:sz w:val="22"/>
          <w:szCs w:val="22"/>
        </w:rPr>
        <w:t xml:space="preserve"> </w:t>
      </w:r>
      <w:r w:rsidR="00062358">
        <w:rPr>
          <w:rFonts w:ascii="Century Gothic" w:eastAsia="Batang" w:hAnsi="Century Gothic" w:cs="Aparajita"/>
          <w:i/>
          <w:sz w:val="22"/>
          <w:szCs w:val="22"/>
        </w:rPr>
        <w:t xml:space="preserve">siendo la responsabilidad del </w:t>
      </w:r>
      <w:r w:rsidR="00715E2B">
        <w:rPr>
          <w:rFonts w:ascii="Century Gothic" w:eastAsia="Batang" w:hAnsi="Century Gothic" w:cs="Aparajita"/>
          <w:i/>
          <w:sz w:val="22"/>
          <w:szCs w:val="22"/>
        </w:rPr>
        <w:t xml:space="preserve">Estado </w:t>
      </w:r>
      <w:r w:rsidR="00062358">
        <w:rPr>
          <w:rFonts w:ascii="Century Gothic" w:eastAsia="Batang" w:hAnsi="Century Gothic" w:cs="Aparajita"/>
          <w:i/>
          <w:sz w:val="22"/>
          <w:szCs w:val="22"/>
        </w:rPr>
        <w:t xml:space="preserve">regular, vigilar y promover, garantizando una adecuada cobertura de prestaciones de salud a la población, </w:t>
      </w:r>
      <w:r w:rsidR="00715E2B">
        <w:rPr>
          <w:rFonts w:ascii="Century Gothic" w:eastAsia="Batang" w:hAnsi="Century Gothic" w:cs="Aparajita"/>
          <w:i/>
          <w:sz w:val="22"/>
          <w:szCs w:val="22"/>
        </w:rPr>
        <w:t xml:space="preserve">en </w:t>
      </w:r>
      <w:r w:rsidR="00062358">
        <w:rPr>
          <w:rFonts w:ascii="Century Gothic" w:eastAsia="Batang" w:hAnsi="Century Gothic" w:cs="Aparajita"/>
          <w:i/>
          <w:sz w:val="22"/>
          <w:szCs w:val="22"/>
        </w:rPr>
        <w:t>términos socialmente aceptables de seguridad, oportunidad y calidad;</w:t>
      </w:r>
    </w:p>
    <w:p w:rsidR="0017029E" w:rsidRDefault="0017029E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062358" w:rsidRDefault="00062358" w:rsidP="00062358">
      <w:pPr>
        <w:ind w:left="-142" w:right="-142" w:firstLine="708"/>
        <w:jc w:val="both"/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</w:pPr>
      <w:r>
        <w:rPr>
          <w:rFonts w:ascii="Century Gothic" w:eastAsia="Batang" w:hAnsi="Century Gothic" w:cs="Aparajita"/>
          <w:i/>
          <w:sz w:val="22"/>
          <w:szCs w:val="22"/>
        </w:rPr>
        <w:t>Que</w:t>
      </w:r>
      <w:r w:rsidR="001665F3">
        <w:rPr>
          <w:rFonts w:ascii="Century Gothic" w:eastAsia="Batang" w:hAnsi="Century Gothic" w:cs="Aparajita"/>
          <w:i/>
          <w:sz w:val="22"/>
          <w:szCs w:val="22"/>
        </w:rPr>
        <w:t>,</w:t>
      </w:r>
      <w:r>
        <w:rPr>
          <w:rFonts w:ascii="Century Gothic" w:eastAsia="Batang" w:hAnsi="Century Gothic" w:cs="Aparajita"/>
          <w:i/>
          <w:sz w:val="22"/>
          <w:szCs w:val="22"/>
        </w:rPr>
        <w:t xml:space="preserve"> el artículo 76 de la prescrita ley </w:t>
      </w:r>
      <w:r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Establece que la autoridad de la </w:t>
      </w:r>
      <w:r w:rsidR="00715E2B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Salud </w:t>
      </w:r>
      <w:r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es </w:t>
      </w:r>
      <w:r w:rsidR="00715E2B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Responsable </w:t>
      </w:r>
      <w:r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de </w:t>
      </w:r>
      <w:r w:rsidR="00715E2B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Dirigir </w:t>
      </w:r>
      <w:r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y </w:t>
      </w:r>
      <w:r w:rsidR="00715E2B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Normar </w:t>
      </w:r>
      <w:r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>las acciones destinadas a evitarla propagación y lograr el control e erradicación de las enfermedades en todo el territorio nacional ejerciéndola vigilancia epidemiológica</w:t>
      </w:r>
      <w:r w:rsidR="00591BB6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, </w:t>
      </w:r>
      <w:r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inteligencia sanitaria y dictando las disposiciones correspondientes; </w:t>
      </w:r>
      <w:r w:rsidR="002753AC" w:rsidRPr="007F29FE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 </w:t>
      </w:r>
    </w:p>
    <w:p w:rsidR="0017029E" w:rsidRDefault="0017029E" w:rsidP="00062358">
      <w:pPr>
        <w:ind w:left="-142" w:right="-142" w:firstLine="708"/>
        <w:jc w:val="both"/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</w:pPr>
    </w:p>
    <w:p w:rsidR="00110EC5" w:rsidRDefault="00110EC5" w:rsidP="00062358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  <w:r>
        <w:rPr>
          <w:rFonts w:ascii="Century Gothic" w:eastAsia="Batang" w:hAnsi="Century Gothic" w:cs="Aparajita"/>
          <w:i/>
          <w:sz w:val="22"/>
          <w:szCs w:val="22"/>
        </w:rPr>
        <w:t xml:space="preserve">Que, mediante la </w:t>
      </w:r>
      <w:r w:rsidR="007E651B">
        <w:rPr>
          <w:rFonts w:ascii="Century Gothic" w:eastAsia="Batang" w:hAnsi="Century Gothic" w:cs="Aparajita"/>
          <w:i/>
          <w:sz w:val="22"/>
          <w:szCs w:val="22"/>
        </w:rPr>
        <w:t>resolución ministerial</w:t>
      </w:r>
      <w:r>
        <w:rPr>
          <w:rFonts w:ascii="Century Gothic" w:eastAsia="Batang" w:hAnsi="Century Gothic" w:cs="Aparajita"/>
          <w:i/>
          <w:sz w:val="22"/>
          <w:szCs w:val="22"/>
        </w:rPr>
        <w:t xml:space="preserve"> Nº 372-2011/MINSA se aprobó la guía técnica de procedimientos de </w:t>
      </w:r>
      <w:r w:rsidR="00591BB6">
        <w:rPr>
          <w:rFonts w:ascii="Century Gothic" w:eastAsia="Batang" w:hAnsi="Century Gothic" w:cs="Aparajita"/>
          <w:i/>
          <w:sz w:val="22"/>
          <w:szCs w:val="22"/>
        </w:rPr>
        <w:t xml:space="preserve">Limpieza </w:t>
      </w:r>
      <w:r w:rsidR="0017029E">
        <w:rPr>
          <w:rFonts w:ascii="Century Gothic" w:eastAsia="Batang" w:hAnsi="Century Gothic" w:cs="Aparajita"/>
          <w:i/>
          <w:sz w:val="22"/>
          <w:szCs w:val="22"/>
        </w:rPr>
        <w:t>y</w:t>
      </w:r>
      <w:r>
        <w:rPr>
          <w:rFonts w:ascii="Century Gothic" w:eastAsia="Batang" w:hAnsi="Century Gothic" w:cs="Aparajita"/>
          <w:i/>
          <w:sz w:val="22"/>
          <w:szCs w:val="22"/>
        </w:rPr>
        <w:t xml:space="preserve"> </w:t>
      </w:r>
      <w:r w:rsidR="00591BB6">
        <w:rPr>
          <w:rFonts w:ascii="Century Gothic" w:eastAsia="Batang" w:hAnsi="Century Gothic" w:cs="Aparajita"/>
          <w:i/>
          <w:sz w:val="22"/>
          <w:szCs w:val="22"/>
        </w:rPr>
        <w:t xml:space="preserve">Desinfección </w:t>
      </w:r>
      <w:r>
        <w:rPr>
          <w:rFonts w:ascii="Century Gothic" w:eastAsia="Batang" w:hAnsi="Century Gothic" w:cs="Aparajita"/>
          <w:i/>
          <w:sz w:val="22"/>
          <w:szCs w:val="22"/>
        </w:rPr>
        <w:t xml:space="preserve">de ambientes en los </w:t>
      </w:r>
      <w:r w:rsidR="007E651B">
        <w:rPr>
          <w:rFonts w:ascii="Century Gothic" w:eastAsia="Batang" w:hAnsi="Century Gothic" w:cs="Aparajita"/>
          <w:i/>
          <w:sz w:val="22"/>
          <w:szCs w:val="22"/>
        </w:rPr>
        <w:t>establecimientos</w:t>
      </w:r>
      <w:r>
        <w:rPr>
          <w:rFonts w:ascii="Century Gothic" w:eastAsia="Batang" w:hAnsi="Century Gothic" w:cs="Aparajita"/>
          <w:i/>
          <w:sz w:val="22"/>
          <w:szCs w:val="22"/>
        </w:rPr>
        <w:t xml:space="preserve"> de </w:t>
      </w:r>
      <w:r w:rsidR="007E651B">
        <w:rPr>
          <w:rFonts w:ascii="Century Gothic" w:eastAsia="Batang" w:hAnsi="Century Gothic" w:cs="Aparajita"/>
          <w:i/>
          <w:sz w:val="22"/>
          <w:szCs w:val="22"/>
        </w:rPr>
        <w:t>salud</w:t>
      </w:r>
      <w:r>
        <w:rPr>
          <w:rFonts w:ascii="Century Gothic" w:eastAsia="Batang" w:hAnsi="Century Gothic" w:cs="Aparajita"/>
          <w:i/>
          <w:sz w:val="22"/>
          <w:szCs w:val="22"/>
        </w:rPr>
        <w:t xml:space="preserve"> y servicios medico de apoyo”, </w:t>
      </w:r>
      <w:r w:rsidR="00591BB6">
        <w:rPr>
          <w:rFonts w:ascii="Century Gothic" w:eastAsia="Batang" w:hAnsi="Century Gothic" w:cs="Aparajita"/>
          <w:i/>
          <w:sz w:val="22"/>
          <w:szCs w:val="22"/>
        </w:rPr>
        <w:t>cuya finalidad es redu</w:t>
      </w:r>
      <w:r w:rsidR="007E651B">
        <w:rPr>
          <w:rFonts w:ascii="Century Gothic" w:eastAsia="Batang" w:hAnsi="Century Gothic" w:cs="Aparajita"/>
          <w:i/>
          <w:sz w:val="22"/>
          <w:szCs w:val="22"/>
        </w:rPr>
        <w:t xml:space="preserve">cir los riesgos a la </w:t>
      </w:r>
      <w:r w:rsidR="00591BB6">
        <w:rPr>
          <w:rFonts w:ascii="Century Gothic" w:eastAsia="Batang" w:hAnsi="Century Gothic" w:cs="Aparajita"/>
          <w:i/>
          <w:sz w:val="22"/>
          <w:szCs w:val="22"/>
        </w:rPr>
        <w:t xml:space="preserve">Salud </w:t>
      </w:r>
      <w:r w:rsidR="007E651B">
        <w:rPr>
          <w:rFonts w:ascii="Century Gothic" w:eastAsia="Batang" w:hAnsi="Century Gothic" w:cs="Aparajita"/>
          <w:i/>
          <w:sz w:val="22"/>
          <w:szCs w:val="22"/>
        </w:rPr>
        <w:t xml:space="preserve">de las </w:t>
      </w:r>
      <w:r w:rsidR="00591BB6">
        <w:rPr>
          <w:rFonts w:ascii="Century Gothic" w:eastAsia="Batang" w:hAnsi="Century Gothic" w:cs="Aparajita"/>
          <w:i/>
          <w:sz w:val="22"/>
          <w:szCs w:val="22"/>
        </w:rPr>
        <w:t xml:space="preserve">Personas </w:t>
      </w:r>
      <w:r w:rsidR="007E651B">
        <w:rPr>
          <w:rFonts w:ascii="Century Gothic" w:eastAsia="Batang" w:hAnsi="Century Gothic" w:cs="Aparajita"/>
          <w:i/>
          <w:sz w:val="22"/>
          <w:szCs w:val="22"/>
        </w:rPr>
        <w:t xml:space="preserve">en los establecimientos de salud y servicios médicos de apoyo que pueden originarse por la inadecuada práctica de la limpieza y desinfección del ambiente en los establecientes de </w:t>
      </w:r>
      <w:r w:rsidR="00591BB6">
        <w:rPr>
          <w:rFonts w:ascii="Century Gothic" w:eastAsia="Batang" w:hAnsi="Century Gothic" w:cs="Aparajita"/>
          <w:i/>
          <w:sz w:val="22"/>
          <w:szCs w:val="22"/>
        </w:rPr>
        <w:t xml:space="preserve">Salud </w:t>
      </w:r>
      <w:r w:rsidR="007E651B">
        <w:rPr>
          <w:rFonts w:ascii="Century Gothic" w:eastAsia="Batang" w:hAnsi="Century Gothic" w:cs="Aparajita"/>
          <w:i/>
          <w:sz w:val="22"/>
          <w:szCs w:val="22"/>
        </w:rPr>
        <w:t xml:space="preserve">y servicios y medios de apoyo; </w:t>
      </w:r>
    </w:p>
    <w:p w:rsidR="00110EC5" w:rsidRDefault="00110EC5" w:rsidP="00062358">
      <w:pPr>
        <w:ind w:left="-142" w:right="-142" w:firstLine="708"/>
        <w:jc w:val="both"/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</w:pPr>
    </w:p>
    <w:p w:rsidR="007E651B" w:rsidRDefault="007E651B" w:rsidP="00062358">
      <w:pPr>
        <w:ind w:left="-142" w:right="-142" w:firstLine="708"/>
        <w:jc w:val="both"/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</w:pPr>
      <w:r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Que, a través de la resolución ministerial Nº 850-2016/MINSA, de fecha 16.05.201, se aprobó la guía técnica de procedimientos de limpieza y desinfección de ambientes en lo establecimientos de salud y servicios medico de apoyo que pueden originarse por las inadecuadas prácticas de limpieza y desinfección de ambientes; </w:t>
      </w:r>
    </w:p>
    <w:p w:rsidR="007E651B" w:rsidRDefault="007E651B" w:rsidP="00062358">
      <w:pPr>
        <w:ind w:left="-142" w:right="-142" w:firstLine="708"/>
        <w:jc w:val="both"/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</w:pPr>
    </w:p>
    <w:p w:rsidR="007E651B" w:rsidRDefault="0017029E" w:rsidP="00062358">
      <w:pPr>
        <w:ind w:left="-142" w:right="-142" w:firstLine="708"/>
        <w:jc w:val="both"/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</w:pPr>
      <w:r w:rsidRPr="00715E2B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lastRenderedPageBreak/>
        <w:t xml:space="preserve">Que, medinate el </w:t>
      </w:r>
      <w:r w:rsidR="00591BB6" w:rsidRPr="00715E2B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>documento</w:t>
      </w:r>
      <w:r w:rsidR="00591BB6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 de</w:t>
      </w:r>
      <w:r w:rsidRPr="00715E2B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 visto</w:t>
      </w:r>
      <w:r w:rsidR="00715E2B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 en</w:t>
      </w:r>
      <w:r w:rsidRPr="00715E2B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 el </w:t>
      </w:r>
      <w:r w:rsidR="00715E2B" w:rsidRPr="00715E2B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Plan </w:t>
      </w:r>
      <w:r w:rsidRPr="00715E2B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de </w:t>
      </w:r>
      <w:r w:rsidR="00715E2B" w:rsidRPr="00715E2B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Limpieza </w:t>
      </w:r>
      <w:r w:rsidRPr="00715E2B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de </w:t>
      </w:r>
      <w:r w:rsidR="00715E2B" w:rsidRPr="00715E2B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Desinfección </w:t>
      </w:r>
      <w:r w:rsidRPr="00715E2B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del </w:t>
      </w:r>
      <w:r w:rsidR="00715E2B" w:rsidRPr="00715E2B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Hospital </w:t>
      </w:r>
      <w:r w:rsidRPr="00715E2B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de </w:t>
      </w:r>
      <w:r w:rsidR="00715E2B" w:rsidRPr="00715E2B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>Pampas –</w:t>
      </w:r>
      <w:r w:rsidRPr="00715E2B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 </w:t>
      </w:r>
      <w:r w:rsidR="00715E2B" w:rsidRPr="00715E2B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Tayacaja, </w:t>
      </w:r>
      <w:r w:rsidR="00591BB6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se realiza </w:t>
      </w:r>
      <w:r w:rsidR="00715E2B" w:rsidRPr="00715E2B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>con la Finalidad</w:t>
      </w:r>
      <w:r w:rsidR="00715E2B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 </w:t>
      </w:r>
      <w:r w:rsidR="00591BB6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de </w:t>
      </w:r>
      <w:r w:rsidR="00591BB6" w:rsidRPr="00715E2B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>contribuir</w:t>
      </w:r>
      <w:r w:rsidR="00715E2B" w:rsidRPr="00715E2B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 con la prevencion de </w:t>
      </w:r>
      <w:r w:rsidR="00591BB6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>contagios e infecciones asociad</w:t>
      </w:r>
      <w:r w:rsidR="00715E2B" w:rsidRPr="00715E2B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as a la </w:t>
      </w:r>
      <w:r w:rsidR="00591BB6" w:rsidRPr="00715E2B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>atención</w:t>
      </w:r>
      <w:r w:rsidR="00715E2B" w:rsidRPr="00715E2B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 a la </w:t>
      </w:r>
      <w:r w:rsidR="00591BB6" w:rsidRPr="00715E2B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Salud </w:t>
      </w:r>
      <w:r w:rsidR="00715E2B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>(</w:t>
      </w:r>
      <w:r w:rsidR="00715E2B" w:rsidRPr="00715E2B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>IAAS</w:t>
      </w:r>
      <w:r w:rsidR="00715E2B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>)</w:t>
      </w:r>
      <w:r w:rsidR="00715E2B" w:rsidRPr="00715E2B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>, en el ámbito</w:t>
      </w:r>
      <w:r w:rsidR="00591BB6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 laboral del hsopital de pampa</w:t>
      </w:r>
      <w:r w:rsidR="00715E2B" w:rsidRPr="00715E2B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s mediante la limpieza y desinfeccion de los ambientes fisicos hospitalaerios según el riesgo de </w:t>
      </w:r>
      <w:r w:rsidR="00715E2B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>exposición;</w:t>
      </w:r>
    </w:p>
    <w:p w:rsidR="004E6C45" w:rsidRDefault="004E6C45" w:rsidP="00062358">
      <w:pPr>
        <w:ind w:left="-142" w:right="-142" w:firstLine="708"/>
        <w:jc w:val="both"/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</w:pPr>
    </w:p>
    <w:p w:rsidR="004E6C45" w:rsidRPr="003A2478" w:rsidRDefault="004E6C45" w:rsidP="004E6C45">
      <w:pPr>
        <w:ind w:left="-142" w:right="-142" w:firstLine="850"/>
        <w:jc w:val="both"/>
        <w:rPr>
          <w:rFonts w:ascii="Century Gothic" w:hAnsi="Century Gothic" w:cs="Aparajita"/>
          <w:i/>
          <w:sz w:val="22"/>
          <w:szCs w:val="22"/>
        </w:rPr>
      </w:pPr>
      <w:r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Que, </w:t>
      </w:r>
      <w:r>
        <w:rPr>
          <w:rFonts w:ascii="Century Gothic" w:hAnsi="Century Gothic" w:cs="Aparajita"/>
          <w:i/>
          <w:sz w:val="22"/>
          <w:szCs w:val="22"/>
        </w:rPr>
        <w:t>el INFORME N° 0023-2023/GOB.REG-HVCA/DIRESA-HPT-DA, de fecha 27</w:t>
      </w:r>
      <w:r w:rsidRPr="00947346">
        <w:rPr>
          <w:rFonts w:ascii="Century Gothic" w:hAnsi="Century Gothic" w:cs="Aparajita"/>
          <w:i/>
          <w:sz w:val="22"/>
          <w:szCs w:val="22"/>
        </w:rPr>
        <w:t xml:space="preserve"> </w:t>
      </w:r>
      <w:r>
        <w:rPr>
          <w:rFonts w:ascii="Century Gothic" w:hAnsi="Century Gothic" w:cs="Aparajita"/>
          <w:i/>
          <w:sz w:val="22"/>
          <w:szCs w:val="22"/>
        </w:rPr>
        <w:t xml:space="preserve">de marzo </w:t>
      </w:r>
      <w:r w:rsidRPr="00947346">
        <w:rPr>
          <w:rFonts w:ascii="Century Gothic" w:hAnsi="Century Gothic" w:cs="Aparajita"/>
          <w:i/>
          <w:sz w:val="22"/>
          <w:szCs w:val="22"/>
        </w:rPr>
        <w:t>del pres</w:t>
      </w:r>
      <w:r>
        <w:rPr>
          <w:rFonts w:ascii="Century Gothic" w:hAnsi="Century Gothic" w:cs="Aparajita"/>
          <w:i/>
          <w:sz w:val="22"/>
          <w:szCs w:val="22"/>
        </w:rPr>
        <w:t xml:space="preserve">ente año, suscrito por la Ing. E. Corina Gogo Beltrán responsable de del Área de Emergencias y Desastres, quien solicita la aprobación del acto resolutivo el </w:t>
      </w:r>
      <w:r w:rsidRPr="005B1BFD">
        <w:rPr>
          <w:rFonts w:ascii="Century Gothic" w:hAnsi="Century Gothic" w:cs="Aparajita"/>
          <w:i/>
          <w:sz w:val="22"/>
          <w:szCs w:val="22"/>
        </w:rPr>
        <w:t>PLAN</w:t>
      </w:r>
      <w:r>
        <w:rPr>
          <w:rFonts w:ascii="Century Gothic" w:hAnsi="Century Gothic" w:cs="Aparajita"/>
          <w:i/>
          <w:sz w:val="22"/>
          <w:szCs w:val="22"/>
        </w:rPr>
        <w:t xml:space="preserve"> DE LIMPIEZA Y DESINFECCION DEL HOSPITAL DE PAMPAS – TAYACAJA;  </w:t>
      </w:r>
    </w:p>
    <w:p w:rsidR="004E6C45" w:rsidRPr="0017029E" w:rsidRDefault="004E6C45" w:rsidP="00062358">
      <w:pPr>
        <w:ind w:left="-142" w:right="-142" w:firstLine="708"/>
        <w:jc w:val="both"/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</w:pPr>
    </w:p>
    <w:p w:rsidR="0017029E" w:rsidRDefault="0017029E" w:rsidP="004E6C45">
      <w:pPr>
        <w:ind w:right="-142"/>
        <w:jc w:val="both"/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</w:pPr>
    </w:p>
    <w:p w:rsidR="0040141C" w:rsidRPr="00062358" w:rsidRDefault="0040141C" w:rsidP="00062358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  <w:r w:rsidRPr="007F29FE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Que, mediante </w:t>
      </w:r>
      <w:r w:rsidRPr="007F29FE">
        <w:rPr>
          <w:rFonts w:ascii="Century Gothic" w:eastAsia="Batang" w:hAnsi="Century Gothic" w:cs="Aparajita"/>
          <w:b/>
          <w:bCs/>
          <w:i/>
          <w:iCs/>
          <w:color w:val="000000" w:themeColor="text1"/>
          <w:sz w:val="22"/>
          <w:szCs w:val="22"/>
        </w:rPr>
        <w:t xml:space="preserve">Resolución Gerencial General Regional N° 021-2023/GOB.REG-HVCA/GGR, </w:t>
      </w:r>
      <w:r w:rsidRPr="007F29FE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se designó a partir del 06 de enero del 2023, a la </w:t>
      </w:r>
      <w:r w:rsidRPr="007F29FE">
        <w:rPr>
          <w:rFonts w:ascii="Century Gothic" w:eastAsia="Batang" w:hAnsi="Century Gothic" w:cs="Aparajita"/>
          <w:b/>
          <w:bCs/>
          <w:i/>
          <w:iCs/>
          <w:color w:val="000000" w:themeColor="text1"/>
          <w:sz w:val="22"/>
          <w:szCs w:val="22"/>
        </w:rPr>
        <w:t xml:space="preserve">CD.  AYALA DIAZ, Lourdes </w:t>
      </w:r>
      <w:r w:rsidR="008D7983" w:rsidRPr="007F29FE">
        <w:rPr>
          <w:rFonts w:ascii="Century Gothic" w:eastAsia="Batang" w:hAnsi="Century Gothic" w:cs="Aparajita"/>
          <w:b/>
          <w:bCs/>
          <w:i/>
          <w:iCs/>
          <w:color w:val="000000" w:themeColor="text1"/>
          <w:sz w:val="22"/>
          <w:szCs w:val="22"/>
        </w:rPr>
        <w:t>Analía</w:t>
      </w:r>
      <w:r w:rsidRPr="007F29FE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 en el cargo de confianza de Directora Ejecutiva de la Dirección Ejecutiva del Hospital de Pampas de Tayacaja, en uso de las atribuciones conferidas conforme a lo establecido en el Reglamento de Organizaciones y Funciones (ROF) del Hospital de Pampas de Tayacaja;</w:t>
      </w:r>
    </w:p>
    <w:p w:rsidR="00182993" w:rsidRPr="003A2478" w:rsidRDefault="00182993" w:rsidP="00182993">
      <w:pPr>
        <w:ind w:left="-142" w:right="-142" w:firstLine="708"/>
        <w:jc w:val="both"/>
        <w:rPr>
          <w:rFonts w:ascii="Century Gothic" w:hAnsi="Century Gothic" w:cs="Aparajita"/>
          <w:i/>
          <w:sz w:val="22"/>
          <w:szCs w:val="22"/>
        </w:rPr>
      </w:pPr>
    </w:p>
    <w:p w:rsidR="00182993" w:rsidRPr="003A2478" w:rsidRDefault="00182993" w:rsidP="00182993">
      <w:pPr>
        <w:ind w:left="-142" w:right="-142" w:firstLine="708"/>
        <w:jc w:val="both"/>
        <w:rPr>
          <w:rFonts w:ascii="Century Gothic" w:hAnsi="Century Gothic" w:cs="Aparajita"/>
          <w:i/>
          <w:sz w:val="22"/>
          <w:szCs w:val="22"/>
        </w:rPr>
      </w:pPr>
      <w:r>
        <w:rPr>
          <w:rFonts w:ascii="Century Gothic" w:hAnsi="Century Gothic" w:cs="Aparajita"/>
          <w:i/>
          <w:sz w:val="22"/>
          <w:szCs w:val="22"/>
        </w:rPr>
        <w:t>Estando a lo informado y c</w:t>
      </w:r>
      <w:r w:rsidRPr="003A2478">
        <w:rPr>
          <w:rFonts w:ascii="Century Gothic" w:hAnsi="Century Gothic" w:cs="Aparajita"/>
          <w:i/>
          <w:sz w:val="22"/>
          <w:szCs w:val="22"/>
        </w:rPr>
        <w:t xml:space="preserve">on </w:t>
      </w:r>
      <w:r>
        <w:rPr>
          <w:rFonts w:ascii="Century Gothic" w:hAnsi="Century Gothic" w:cs="Aparajita"/>
          <w:i/>
          <w:sz w:val="22"/>
          <w:szCs w:val="22"/>
        </w:rPr>
        <w:t>las</w:t>
      </w:r>
      <w:r w:rsidRPr="003A2478">
        <w:rPr>
          <w:rFonts w:ascii="Century Gothic" w:hAnsi="Century Gothic" w:cs="Aparajita"/>
          <w:i/>
          <w:sz w:val="22"/>
          <w:szCs w:val="22"/>
        </w:rPr>
        <w:t xml:space="preserve"> </w:t>
      </w:r>
      <w:proofErr w:type="spellStart"/>
      <w:r w:rsidRPr="003A2478">
        <w:rPr>
          <w:rFonts w:ascii="Century Gothic" w:hAnsi="Century Gothic" w:cs="Aparajita"/>
          <w:i/>
          <w:sz w:val="22"/>
          <w:szCs w:val="22"/>
        </w:rPr>
        <w:t>visa</w:t>
      </w:r>
      <w:r>
        <w:rPr>
          <w:rFonts w:ascii="Century Gothic" w:hAnsi="Century Gothic" w:cs="Aparajita"/>
          <w:i/>
          <w:sz w:val="22"/>
          <w:szCs w:val="22"/>
        </w:rPr>
        <w:t>ciones</w:t>
      </w:r>
      <w:proofErr w:type="spellEnd"/>
      <w:r>
        <w:rPr>
          <w:rFonts w:ascii="Century Gothic" w:hAnsi="Century Gothic" w:cs="Aparajita"/>
          <w:i/>
          <w:sz w:val="22"/>
          <w:szCs w:val="22"/>
        </w:rPr>
        <w:t xml:space="preserve">, </w:t>
      </w:r>
      <w:r w:rsidRPr="003A2478">
        <w:rPr>
          <w:rFonts w:ascii="Century Gothic" w:hAnsi="Century Gothic" w:cs="Aparajita"/>
          <w:i/>
          <w:sz w:val="22"/>
          <w:szCs w:val="22"/>
        </w:rPr>
        <w:t>del Jefe de Oficina de Administración</w:t>
      </w:r>
      <w:r>
        <w:rPr>
          <w:rFonts w:ascii="Century Gothic" w:hAnsi="Century Gothic" w:cs="Aparajita"/>
          <w:i/>
          <w:sz w:val="22"/>
          <w:szCs w:val="22"/>
        </w:rPr>
        <w:t xml:space="preserve"> y de la Unidad de Asesoría Jurídica</w:t>
      </w:r>
      <w:r w:rsidRPr="003A2478">
        <w:rPr>
          <w:rFonts w:ascii="Century Gothic" w:hAnsi="Century Gothic" w:cs="Aparajita"/>
          <w:i/>
          <w:sz w:val="22"/>
          <w:szCs w:val="22"/>
        </w:rPr>
        <w:t xml:space="preserve"> del Hospital de Pampas de Tayacaja</w:t>
      </w:r>
      <w:r w:rsidR="0040141C">
        <w:rPr>
          <w:rFonts w:ascii="Century Gothic" w:hAnsi="Century Gothic" w:cs="Aparajita"/>
          <w:i/>
          <w:sz w:val="22"/>
          <w:szCs w:val="22"/>
        </w:rPr>
        <w:t>.</w:t>
      </w:r>
    </w:p>
    <w:p w:rsidR="00182993" w:rsidRDefault="00182993" w:rsidP="00947346">
      <w:pPr>
        <w:ind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182993" w:rsidRPr="003A2478" w:rsidRDefault="00182993" w:rsidP="00182993">
      <w:pPr>
        <w:ind w:left="-142" w:right="-142"/>
        <w:jc w:val="both"/>
        <w:rPr>
          <w:rFonts w:ascii="Century Gothic" w:hAnsi="Century Gothic" w:cs="Aparajita"/>
          <w:b/>
          <w:i/>
          <w:sz w:val="22"/>
          <w:szCs w:val="22"/>
        </w:rPr>
      </w:pPr>
      <w:r w:rsidRPr="003A2478">
        <w:rPr>
          <w:rFonts w:ascii="Century Gothic" w:hAnsi="Century Gothic" w:cs="Aparajita"/>
          <w:b/>
          <w:i/>
          <w:sz w:val="22"/>
          <w:szCs w:val="22"/>
        </w:rPr>
        <w:t>SE RESUELVE:</w:t>
      </w:r>
    </w:p>
    <w:p w:rsidR="00182993" w:rsidRPr="003A2478" w:rsidRDefault="00182993" w:rsidP="00182993">
      <w:pPr>
        <w:ind w:left="-142" w:right="-142"/>
        <w:jc w:val="both"/>
        <w:rPr>
          <w:rFonts w:ascii="Century Gothic" w:hAnsi="Century Gothic" w:cs="Aparajita"/>
          <w:b/>
          <w:i/>
          <w:sz w:val="22"/>
          <w:szCs w:val="22"/>
        </w:rPr>
      </w:pPr>
    </w:p>
    <w:p w:rsidR="00182993" w:rsidRPr="00591BB6" w:rsidRDefault="00182993" w:rsidP="00BB2543">
      <w:pPr>
        <w:ind w:left="-142" w:right="-142"/>
        <w:jc w:val="both"/>
        <w:rPr>
          <w:rFonts w:ascii="Century Gothic" w:hAnsi="Century Gothic" w:cs="Aparajita"/>
          <w:b/>
          <w:i/>
          <w:sz w:val="22"/>
          <w:szCs w:val="22"/>
        </w:rPr>
      </w:pPr>
      <w:r w:rsidRPr="00947346">
        <w:rPr>
          <w:rFonts w:ascii="Century Gothic" w:hAnsi="Century Gothic" w:cs="Aparajita"/>
          <w:b/>
          <w:i/>
          <w:sz w:val="22"/>
          <w:szCs w:val="22"/>
        </w:rPr>
        <w:t>ARTÍCULO 1º</w:t>
      </w:r>
      <w:r w:rsidR="004B4C39" w:rsidRPr="00947346">
        <w:rPr>
          <w:rFonts w:ascii="Century Gothic" w:hAnsi="Century Gothic" w:cs="Aparajita"/>
          <w:b/>
          <w:i/>
          <w:sz w:val="22"/>
          <w:szCs w:val="22"/>
        </w:rPr>
        <w:t xml:space="preserve">.- </w:t>
      </w:r>
      <w:r w:rsidR="00BD4636" w:rsidRPr="00BD4636">
        <w:rPr>
          <w:rFonts w:ascii="Century Gothic" w:hAnsi="Century Gothic" w:cs="Aparajita"/>
          <w:b/>
          <w:i/>
          <w:sz w:val="22"/>
          <w:szCs w:val="22"/>
        </w:rPr>
        <w:t xml:space="preserve">APROBAR </w:t>
      </w:r>
      <w:r w:rsidR="00BD4636" w:rsidRPr="00BD4636">
        <w:rPr>
          <w:rFonts w:ascii="Century Gothic" w:hAnsi="Century Gothic" w:cs="Aparajita"/>
          <w:i/>
          <w:sz w:val="22"/>
          <w:szCs w:val="22"/>
        </w:rPr>
        <w:t xml:space="preserve">el </w:t>
      </w:r>
      <w:r w:rsidR="00BB2543" w:rsidRPr="00591BB6">
        <w:rPr>
          <w:rFonts w:ascii="Century Gothic" w:hAnsi="Century Gothic" w:cs="Aparajita"/>
          <w:b/>
          <w:i/>
          <w:sz w:val="22"/>
          <w:szCs w:val="22"/>
        </w:rPr>
        <w:t>“</w:t>
      </w:r>
      <w:r w:rsidR="00591BB6" w:rsidRPr="00591BB6">
        <w:rPr>
          <w:rFonts w:ascii="Century Gothic" w:hAnsi="Century Gothic" w:cs="Aparajita"/>
          <w:b/>
          <w:i/>
          <w:sz w:val="22"/>
          <w:szCs w:val="22"/>
        </w:rPr>
        <w:t>PLAN DE LIMPIEZA Y DESINFECCION DEL HOSPITAL DE PAMPAS – TAYACAJA</w:t>
      </w:r>
      <w:r w:rsidR="008F3E9C" w:rsidRPr="00591BB6">
        <w:rPr>
          <w:rFonts w:ascii="Century Gothic" w:hAnsi="Century Gothic" w:cs="Aparajita"/>
          <w:b/>
          <w:i/>
          <w:sz w:val="22"/>
          <w:szCs w:val="22"/>
        </w:rPr>
        <w:t>”</w:t>
      </w:r>
      <w:r w:rsidR="00761F6D">
        <w:rPr>
          <w:rFonts w:ascii="Century Gothic" w:hAnsi="Century Gothic" w:cs="Aparajita"/>
          <w:b/>
          <w:i/>
          <w:sz w:val="22"/>
          <w:szCs w:val="22"/>
        </w:rPr>
        <w:t>; la cual forma parte de la presente</w:t>
      </w:r>
      <w:r w:rsidR="008F3E9C" w:rsidRPr="00591BB6">
        <w:rPr>
          <w:rFonts w:ascii="Century Gothic" w:hAnsi="Century Gothic" w:cs="Aparajita"/>
          <w:b/>
          <w:i/>
          <w:sz w:val="22"/>
          <w:szCs w:val="22"/>
        </w:rPr>
        <w:t>.</w:t>
      </w:r>
    </w:p>
    <w:p w:rsidR="00BB2543" w:rsidRPr="00BB2543" w:rsidRDefault="00BB2543" w:rsidP="00BB2543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182993" w:rsidRDefault="00182993" w:rsidP="00182993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  <w:r w:rsidRPr="00376774">
        <w:rPr>
          <w:rFonts w:ascii="Century Gothic" w:hAnsi="Century Gothic" w:cs="Aparajita"/>
          <w:b/>
          <w:i/>
          <w:sz w:val="22"/>
          <w:szCs w:val="22"/>
        </w:rPr>
        <w:t>ART</w:t>
      </w:r>
      <w:r w:rsidR="00C974FB">
        <w:rPr>
          <w:rFonts w:ascii="Century Gothic" w:hAnsi="Century Gothic" w:cs="Aparajita"/>
          <w:b/>
          <w:i/>
          <w:sz w:val="22"/>
          <w:szCs w:val="22"/>
        </w:rPr>
        <w:t>ÍCULO 2</w:t>
      </w:r>
      <w:r w:rsidRPr="00376774">
        <w:rPr>
          <w:rFonts w:ascii="Century Gothic" w:hAnsi="Century Gothic" w:cs="Aparajita"/>
          <w:b/>
          <w:i/>
          <w:sz w:val="22"/>
          <w:szCs w:val="22"/>
        </w:rPr>
        <w:t xml:space="preserve">º.- </w:t>
      </w:r>
      <w:r w:rsidR="004B4C39">
        <w:rPr>
          <w:rFonts w:ascii="Century Gothic" w:hAnsi="Century Gothic" w:cs="Aparajita"/>
          <w:b/>
          <w:i/>
          <w:sz w:val="22"/>
          <w:szCs w:val="22"/>
        </w:rPr>
        <w:t>ENCARGAR,</w:t>
      </w:r>
      <w:r w:rsidR="004B4C39">
        <w:rPr>
          <w:rFonts w:ascii="Century Gothic" w:hAnsi="Century Gothic" w:cs="Aparajita"/>
          <w:i/>
          <w:sz w:val="22"/>
          <w:szCs w:val="22"/>
        </w:rPr>
        <w:t xml:space="preserve"> a la oficina de administración, el seguimiento, monitoreo y disponer de las acciones administrativas correspondientes para el cumplimiento del presente</w:t>
      </w:r>
      <w:r>
        <w:rPr>
          <w:rFonts w:ascii="Century Gothic" w:hAnsi="Century Gothic" w:cs="Aparajita"/>
          <w:i/>
          <w:sz w:val="22"/>
          <w:szCs w:val="22"/>
        </w:rPr>
        <w:t>.</w:t>
      </w:r>
    </w:p>
    <w:p w:rsidR="00182993" w:rsidRPr="00376774" w:rsidRDefault="00182993" w:rsidP="00182993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5B1BFD" w:rsidRDefault="00182993" w:rsidP="003D0E71">
      <w:pPr>
        <w:ind w:left="-142" w:right="-142"/>
        <w:jc w:val="both"/>
      </w:pPr>
      <w:r w:rsidRPr="00947346">
        <w:rPr>
          <w:rFonts w:ascii="Century Gothic" w:hAnsi="Century Gothic" w:cs="Aparajita"/>
          <w:b/>
          <w:i/>
          <w:sz w:val="22"/>
          <w:szCs w:val="22"/>
        </w:rPr>
        <w:t xml:space="preserve">ARTÍCULO </w:t>
      </w:r>
      <w:r w:rsidR="00C974FB" w:rsidRPr="00947346">
        <w:rPr>
          <w:rFonts w:ascii="Century Gothic" w:hAnsi="Century Gothic" w:cs="Aparajita"/>
          <w:b/>
          <w:i/>
          <w:sz w:val="22"/>
          <w:szCs w:val="22"/>
        </w:rPr>
        <w:t>3</w:t>
      </w:r>
      <w:r w:rsidRPr="00947346">
        <w:rPr>
          <w:rFonts w:ascii="Century Gothic" w:hAnsi="Century Gothic" w:cs="Aparajita"/>
          <w:b/>
          <w:i/>
          <w:sz w:val="22"/>
          <w:szCs w:val="22"/>
        </w:rPr>
        <w:t xml:space="preserve">°. - </w:t>
      </w:r>
      <w:r w:rsidR="004B4C39" w:rsidRPr="00947346">
        <w:rPr>
          <w:rFonts w:ascii="Century Gothic" w:hAnsi="Century Gothic" w:cs="Aparajita"/>
          <w:b/>
          <w:i/>
          <w:sz w:val="22"/>
          <w:szCs w:val="22"/>
        </w:rPr>
        <w:t>NOTIFIQUESE</w:t>
      </w:r>
      <w:r w:rsidR="004B4C39" w:rsidRPr="00947346">
        <w:rPr>
          <w:rFonts w:ascii="Century Gothic" w:hAnsi="Century Gothic" w:cs="Aparajita"/>
          <w:i/>
          <w:sz w:val="22"/>
          <w:szCs w:val="22"/>
        </w:rPr>
        <w:t xml:space="preserve"> el presente acto administrativo a los interesados y órganos competentes del</w:t>
      </w:r>
      <w:r w:rsidRPr="00947346">
        <w:rPr>
          <w:rFonts w:ascii="Century Gothic" w:hAnsi="Century Gothic" w:cs="Aparajita"/>
          <w:i/>
          <w:sz w:val="22"/>
          <w:szCs w:val="22"/>
        </w:rPr>
        <w:t xml:space="preserve"> Hospital de Pampas de Tayacaja como al interesado, para los fines de ley.</w:t>
      </w:r>
      <w:r w:rsidR="005B1BFD" w:rsidRPr="005B1BFD">
        <w:t xml:space="preserve"> </w:t>
      </w:r>
    </w:p>
    <w:p w:rsidR="005B1BFD" w:rsidRDefault="005B1BFD" w:rsidP="003D0E71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261795" w:rsidRPr="00261795" w:rsidRDefault="00261795" w:rsidP="00261795">
      <w:pPr>
        <w:ind w:left="578" w:right="-142" w:firstLine="862"/>
        <w:jc w:val="both"/>
        <w:rPr>
          <w:rFonts w:ascii="Century Gothic" w:hAnsi="Century Gothic" w:cs="Aparajita"/>
          <w:b/>
          <w:i/>
          <w:sz w:val="22"/>
          <w:szCs w:val="22"/>
        </w:rPr>
      </w:pPr>
      <w:r w:rsidRPr="00261795">
        <w:rPr>
          <w:rFonts w:ascii="Century Gothic" w:hAnsi="Century Gothic" w:cs="Aparajita"/>
          <w:b/>
          <w:i/>
          <w:sz w:val="22"/>
          <w:szCs w:val="22"/>
        </w:rPr>
        <w:t>REGISTRESE, COMUNIQUESE, PUBLÍQUESE Y CÚMPLA</w:t>
      </w:r>
    </w:p>
    <w:p w:rsidR="005B1BFD" w:rsidRDefault="005B1BFD" w:rsidP="003D0E71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5B1BFD" w:rsidRDefault="005B1BFD" w:rsidP="003D0E71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5B1BFD" w:rsidRDefault="005B1BFD" w:rsidP="003D0E71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5B1BFD" w:rsidRDefault="005B1BFD" w:rsidP="003D0E71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5B1BFD" w:rsidRDefault="005B1BFD" w:rsidP="003D0E71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5B1BFD" w:rsidRDefault="005B1BFD" w:rsidP="005B1BFD">
      <w:pPr>
        <w:ind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5B1BFD" w:rsidRDefault="005B1BFD" w:rsidP="005B1BFD">
      <w:pPr>
        <w:ind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5B1BFD" w:rsidRDefault="005B1BFD" w:rsidP="005B1BFD">
      <w:pPr>
        <w:ind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5B1BFD" w:rsidRDefault="005B1BFD" w:rsidP="005B1BFD">
      <w:pPr>
        <w:ind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5B1BFD" w:rsidRDefault="005B1BFD" w:rsidP="003D0E71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5B1BFD" w:rsidRDefault="005B1BFD" w:rsidP="003D0E71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5B1BFD" w:rsidRPr="005B1BFD" w:rsidRDefault="005B1BFD" w:rsidP="005B1BFD">
      <w:pPr>
        <w:ind w:right="-142"/>
        <w:jc w:val="both"/>
        <w:rPr>
          <w:rFonts w:ascii="Century Gothic" w:hAnsi="Century Gothic" w:cs="Aparajita"/>
          <w:i/>
          <w:sz w:val="20"/>
          <w:szCs w:val="22"/>
        </w:rPr>
      </w:pPr>
      <w:r w:rsidRPr="005B1BFD">
        <w:rPr>
          <w:rFonts w:ascii="Century Gothic" w:hAnsi="Century Gothic" w:cs="Aparajita"/>
          <w:i/>
          <w:sz w:val="20"/>
          <w:szCs w:val="22"/>
        </w:rPr>
        <w:t xml:space="preserve">Nuevo Reg. Documento: </w:t>
      </w:r>
      <w:r w:rsidR="00CD2111" w:rsidRPr="00CD2111">
        <w:rPr>
          <w:rFonts w:ascii="Century Gothic" w:hAnsi="Century Gothic" w:cs="Aparajita"/>
          <w:i/>
          <w:sz w:val="20"/>
          <w:szCs w:val="22"/>
        </w:rPr>
        <w:t>2624623</w:t>
      </w:r>
      <w:bookmarkStart w:id="0" w:name="_GoBack"/>
      <w:bookmarkEnd w:id="0"/>
    </w:p>
    <w:p w:rsidR="005B1BFD" w:rsidRPr="005B1BFD" w:rsidRDefault="005B1BFD" w:rsidP="005B1BFD">
      <w:pPr>
        <w:rPr>
          <w:rFonts w:ascii="Century Gothic" w:hAnsi="Century Gothic" w:cs="Aparajita"/>
          <w:sz w:val="20"/>
          <w:szCs w:val="22"/>
        </w:rPr>
      </w:pPr>
    </w:p>
    <w:p w:rsidR="00182993" w:rsidRPr="005B1BFD" w:rsidRDefault="0040141C" w:rsidP="005B1BFD">
      <w:pPr>
        <w:rPr>
          <w:rFonts w:ascii="Century Gothic" w:hAnsi="Century Gothic" w:cs="Aparajita"/>
          <w:sz w:val="20"/>
          <w:szCs w:val="22"/>
        </w:rPr>
      </w:pPr>
      <w:r w:rsidRPr="00505E02">
        <w:rPr>
          <w:rFonts w:ascii="Century Gothic" w:hAnsi="Century Gothic" w:cs="Aparajita"/>
          <w:i/>
          <w:sz w:val="20"/>
          <w:szCs w:val="22"/>
        </w:rPr>
        <w:t>Nuevo Reg. Expediente</w:t>
      </w:r>
      <w:r>
        <w:rPr>
          <w:rFonts w:ascii="Century Gothic" w:hAnsi="Century Gothic" w:cs="Aparajita"/>
          <w:sz w:val="20"/>
          <w:szCs w:val="22"/>
        </w:rPr>
        <w:t>:</w:t>
      </w:r>
      <w:r w:rsidR="00505E02">
        <w:rPr>
          <w:rFonts w:ascii="Century Gothic" w:hAnsi="Century Gothic" w:cs="Aparajita"/>
          <w:sz w:val="20"/>
          <w:szCs w:val="22"/>
        </w:rPr>
        <w:t xml:space="preserve"> </w:t>
      </w:r>
      <w:r>
        <w:rPr>
          <w:rFonts w:ascii="Century Gothic" w:hAnsi="Century Gothic" w:cs="Aparajita"/>
          <w:sz w:val="20"/>
          <w:szCs w:val="22"/>
        </w:rPr>
        <w:t xml:space="preserve"> </w:t>
      </w:r>
      <w:r w:rsidR="00CD2111" w:rsidRPr="00CD2111">
        <w:rPr>
          <w:rFonts w:ascii="Century Gothic" w:hAnsi="Century Gothic" w:cs="Aparajita"/>
          <w:sz w:val="20"/>
          <w:szCs w:val="22"/>
        </w:rPr>
        <w:t>1935732</w:t>
      </w:r>
    </w:p>
    <w:sectPr w:rsidR="00182993" w:rsidRPr="005B1BFD" w:rsidSect="002A0A06">
      <w:headerReference w:type="default" r:id="rId6"/>
      <w:footerReference w:type="default" r:id="rId7"/>
      <w:pgSz w:w="11906" w:h="16838"/>
      <w:pgMar w:top="1127" w:right="1416" w:bottom="1135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6BF" w:rsidRDefault="001206BF">
      <w:r>
        <w:separator/>
      </w:r>
    </w:p>
  </w:endnote>
  <w:endnote w:type="continuationSeparator" w:id="0">
    <w:p w:rsidR="001206BF" w:rsidRDefault="00120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arajita">
    <w:altName w:val="Arial"/>
    <w:charset w:val="00"/>
    <w:family w:val="swiss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1C8" w:rsidRDefault="00A651C8" w:rsidP="00A651C8">
    <w:pPr>
      <w:pStyle w:val="Piedepgina"/>
    </w:pPr>
  </w:p>
  <w:p w:rsidR="00A651C8" w:rsidRPr="00A651C8" w:rsidRDefault="00A651C8" w:rsidP="00A651C8">
    <w:pPr>
      <w:pStyle w:val="Piedepgina"/>
      <w:rPr>
        <w:b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6BF" w:rsidRDefault="001206BF">
      <w:r>
        <w:separator/>
      </w:r>
    </w:p>
  </w:footnote>
  <w:footnote w:type="continuationSeparator" w:id="0">
    <w:p w:rsidR="001206BF" w:rsidRDefault="00120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881" w:rsidRPr="00306F09" w:rsidRDefault="00067754" w:rsidP="00223F7D">
    <w:pPr>
      <w:pStyle w:val="Encabezado"/>
      <w:tabs>
        <w:tab w:val="clear" w:pos="4252"/>
        <w:tab w:val="clear" w:pos="8504"/>
        <w:tab w:val="left" w:pos="6105"/>
      </w:tabs>
      <w:jc w:val="center"/>
      <w:rPr>
        <w:i/>
      </w:rPr>
    </w:pPr>
    <w:r w:rsidRPr="00306F09"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5536223C" wp14:editId="18CC2859">
          <wp:simplePos x="0" y="0"/>
          <wp:positionH relativeFrom="margin">
            <wp:posOffset>4423410</wp:posOffset>
          </wp:positionH>
          <wp:positionV relativeFrom="paragraph">
            <wp:posOffset>-71755</wp:posOffset>
          </wp:positionV>
          <wp:extent cx="1170305" cy="379730"/>
          <wp:effectExtent l="0" t="0" r="0" b="127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6F09"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6B349BEC" wp14:editId="5C4E9269">
          <wp:simplePos x="0" y="0"/>
          <wp:positionH relativeFrom="margin">
            <wp:posOffset>-158750</wp:posOffset>
          </wp:positionH>
          <wp:positionV relativeFrom="paragraph">
            <wp:posOffset>-55880</wp:posOffset>
          </wp:positionV>
          <wp:extent cx="1294130" cy="398780"/>
          <wp:effectExtent l="0" t="0" r="1270" b="1270"/>
          <wp:wrapSquare wrapText="bothSides"/>
          <wp:docPr id="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130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6F09">
      <w:rPr>
        <w:i/>
      </w:rPr>
      <w:t>GOBIERNO REGIONAL DE HUANCAVELICA</w:t>
    </w:r>
  </w:p>
  <w:p w:rsidR="00223F7D" w:rsidRPr="00306F09" w:rsidRDefault="00067754" w:rsidP="00223F7D">
    <w:pPr>
      <w:pStyle w:val="Encabezado"/>
      <w:tabs>
        <w:tab w:val="clear" w:pos="4252"/>
        <w:tab w:val="clear" w:pos="8504"/>
        <w:tab w:val="left" w:pos="6105"/>
      </w:tabs>
      <w:jc w:val="center"/>
      <w:rPr>
        <w:i/>
      </w:rPr>
    </w:pPr>
    <w:r w:rsidRPr="00306F09">
      <w:rPr>
        <w:i/>
      </w:rPr>
      <w:t>HOSPITAL DE PAMPAS DE TAYACAJA</w:t>
    </w:r>
  </w:p>
  <w:p w:rsidR="00590881" w:rsidRDefault="00067754" w:rsidP="00223F7D">
    <w:pPr>
      <w:pStyle w:val="Encabezado"/>
      <w:tabs>
        <w:tab w:val="clear" w:pos="4252"/>
        <w:tab w:val="clear" w:pos="8504"/>
        <w:tab w:val="left" w:pos="6105"/>
      </w:tabs>
      <w:jc w:val="righ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53B2B7" wp14:editId="1EFBF7E4">
              <wp:simplePos x="0" y="0"/>
              <wp:positionH relativeFrom="column">
                <wp:posOffset>-1053465</wp:posOffset>
              </wp:positionH>
              <wp:positionV relativeFrom="paragraph">
                <wp:posOffset>24765</wp:posOffset>
              </wp:positionV>
              <wp:extent cx="1993265" cy="417830"/>
              <wp:effectExtent l="13335" t="5715" r="12700" b="508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93265" cy="417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90881" w:rsidRPr="00B01DA5" w:rsidRDefault="001206BF" w:rsidP="001725BB">
                          <w:pPr>
                            <w:jc w:val="center"/>
                            <w:rPr>
                              <w:rFonts w:ascii="Bernard MT Condensed" w:hAnsi="Bernard MT Condensed"/>
                              <w:sz w:val="18"/>
                              <w:szCs w:val="18"/>
                              <w:lang w:val="es-ES_tradn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53B2B7" id="Rectangle 2" o:spid="_x0000_s1026" style="position:absolute;left:0;text-align:left;margin-left:-82.95pt;margin-top:1.95pt;width:156.95pt;height: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" strokecolor="white">
              <v:textbox>
                <w:txbxContent>
                  <w:p w:rsidR="00590881" w:rsidRPr="00B01DA5" w:rsidRDefault="005D1681" w:rsidP="001725BB">
                    <w:pPr>
                      <w:jc w:val="center"/>
                      <w:rPr>
                        <w:rFonts w:ascii="Bernard MT Condensed" w:hAnsi="Bernard MT Condensed"/>
                        <w:sz w:val="18"/>
                        <w:szCs w:val="18"/>
                        <w:lang w:val="es-ES_tradn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93"/>
    <w:rsid w:val="000013A5"/>
    <w:rsid w:val="00040316"/>
    <w:rsid w:val="00043550"/>
    <w:rsid w:val="00062358"/>
    <w:rsid w:val="00067754"/>
    <w:rsid w:val="00087734"/>
    <w:rsid w:val="000C4E13"/>
    <w:rsid w:val="00110EC5"/>
    <w:rsid w:val="001206BF"/>
    <w:rsid w:val="00126E76"/>
    <w:rsid w:val="0014489C"/>
    <w:rsid w:val="00144E39"/>
    <w:rsid w:val="00156314"/>
    <w:rsid w:val="00163B31"/>
    <w:rsid w:val="001665F3"/>
    <w:rsid w:val="0017029E"/>
    <w:rsid w:val="00182993"/>
    <w:rsid w:val="00184248"/>
    <w:rsid w:val="001846BE"/>
    <w:rsid w:val="001C59E7"/>
    <w:rsid w:val="002451A1"/>
    <w:rsid w:val="00247256"/>
    <w:rsid w:val="00257318"/>
    <w:rsid w:val="00261795"/>
    <w:rsid w:val="002753AC"/>
    <w:rsid w:val="002C729A"/>
    <w:rsid w:val="002D026C"/>
    <w:rsid w:val="002E288D"/>
    <w:rsid w:val="002E398A"/>
    <w:rsid w:val="00331543"/>
    <w:rsid w:val="003C43D3"/>
    <w:rsid w:val="003D0E71"/>
    <w:rsid w:val="0040141C"/>
    <w:rsid w:val="00403231"/>
    <w:rsid w:val="00465AB5"/>
    <w:rsid w:val="004774DE"/>
    <w:rsid w:val="004A3275"/>
    <w:rsid w:val="004B4C39"/>
    <w:rsid w:val="004E6C45"/>
    <w:rsid w:val="00505E02"/>
    <w:rsid w:val="005102DA"/>
    <w:rsid w:val="0052041C"/>
    <w:rsid w:val="00532E6E"/>
    <w:rsid w:val="005535C8"/>
    <w:rsid w:val="00591BB6"/>
    <w:rsid w:val="005928E1"/>
    <w:rsid w:val="005B1BFD"/>
    <w:rsid w:val="005D1681"/>
    <w:rsid w:val="005E45EB"/>
    <w:rsid w:val="006113CC"/>
    <w:rsid w:val="00636702"/>
    <w:rsid w:val="00652BD5"/>
    <w:rsid w:val="006612E2"/>
    <w:rsid w:val="00681867"/>
    <w:rsid w:val="00681ACC"/>
    <w:rsid w:val="006B4F19"/>
    <w:rsid w:val="006B5FCF"/>
    <w:rsid w:val="006F2016"/>
    <w:rsid w:val="00715E2B"/>
    <w:rsid w:val="00761F6D"/>
    <w:rsid w:val="007E651B"/>
    <w:rsid w:val="00830494"/>
    <w:rsid w:val="00866708"/>
    <w:rsid w:val="008945BE"/>
    <w:rsid w:val="008D7983"/>
    <w:rsid w:val="008E57E2"/>
    <w:rsid w:val="008F3E9C"/>
    <w:rsid w:val="009051D6"/>
    <w:rsid w:val="00947346"/>
    <w:rsid w:val="00957C12"/>
    <w:rsid w:val="00961D53"/>
    <w:rsid w:val="009B52EE"/>
    <w:rsid w:val="009F5E69"/>
    <w:rsid w:val="00A2573A"/>
    <w:rsid w:val="00A651C8"/>
    <w:rsid w:val="00AB407C"/>
    <w:rsid w:val="00AC2528"/>
    <w:rsid w:val="00AD7F93"/>
    <w:rsid w:val="00AE37B8"/>
    <w:rsid w:val="00B33CD5"/>
    <w:rsid w:val="00B36CEE"/>
    <w:rsid w:val="00B43D5A"/>
    <w:rsid w:val="00B51588"/>
    <w:rsid w:val="00B666DE"/>
    <w:rsid w:val="00B765EB"/>
    <w:rsid w:val="00BB2543"/>
    <w:rsid w:val="00BC3C6C"/>
    <w:rsid w:val="00BC6240"/>
    <w:rsid w:val="00BD4636"/>
    <w:rsid w:val="00C27D65"/>
    <w:rsid w:val="00C34F4F"/>
    <w:rsid w:val="00C352FE"/>
    <w:rsid w:val="00C42501"/>
    <w:rsid w:val="00C62A01"/>
    <w:rsid w:val="00C974FB"/>
    <w:rsid w:val="00CD04EA"/>
    <w:rsid w:val="00CD2111"/>
    <w:rsid w:val="00CD38AD"/>
    <w:rsid w:val="00CD56ED"/>
    <w:rsid w:val="00D07FBA"/>
    <w:rsid w:val="00D27051"/>
    <w:rsid w:val="00D404EE"/>
    <w:rsid w:val="00DC0CD4"/>
    <w:rsid w:val="00DE059A"/>
    <w:rsid w:val="00E14076"/>
    <w:rsid w:val="00E2455B"/>
    <w:rsid w:val="00E421AE"/>
    <w:rsid w:val="00E50BD9"/>
    <w:rsid w:val="00E77D99"/>
    <w:rsid w:val="00E77F41"/>
    <w:rsid w:val="00E850CD"/>
    <w:rsid w:val="00EC50C4"/>
    <w:rsid w:val="00EC6731"/>
    <w:rsid w:val="00ED3703"/>
    <w:rsid w:val="00F02435"/>
    <w:rsid w:val="00F440EA"/>
    <w:rsid w:val="00F45C39"/>
    <w:rsid w:val="00F55AAD"/>
    <w:rsid w:val="00FB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EF095"/>
  <w15:chartTrackingRefBased/>
  <w15:docId w15:val="{EAF1A222-2A9E-427C-A52B-FB57C645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829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8299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o-style-override">
    <w:name w:val="no-style-override"/>
    <w:basedOn w:val="Fuentedeprrafopredeter"/>
    <w:rsid w:val="00182993"/>
  </w:style>
  <w:style w:type="paragraph" w:styleId="Textodeglobo">
    <w:name w:val="Balloon Text"/>
    <w:basedOn w:val="Normal"/>
    <w:link w:val="TextodegloboCar"/>
    <w:uiPriority w:val="99"/>
    <w:semiHidden/>
    <w:unhideWhenUsed/>
    <w:rsid w:val="0018299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2993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651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51C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CD56ED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ASESORIA JURIDICA</dc:creator>
  <cp:keywords/>
  <dc:description/>
  <cp:lastModifiedBy>ASESORIA JURIDICA</cp:lastModifiedBy>
  <cp:revision>3</cp:revision>
  <cp:lastPrinted>2022-03-08T17:35:00Z</cp:lastPrinted>
  <dcterms:created xsi:type="dcterms:W3CDTF">2023-04-05T19:52:00Z</dcterms:created>
  <dcterms:modified xsi:type="dcterms:W3CDTF">2023-04-05T19:56:00Z</dcterms:modified>
</cp:coreProperties>
</file>