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FB446A">
        <w:rPr>
          <w:rFonts w:ascii="Aparajita" w:hAnsi="Aparajita" w:cs="Aparajita"/>
          <w:b/>
          <w:i/>
          <w:sz w:val="34"/>
          <w:szCs w:val="34"/>
        </w:rPr>
        <w:t>° 0</w:t>
      </w:r>
      <w:r w:rsidR="00E1185E">
        <w:rPr>
          <w:rFonts w:ascii="Aparajita" w:hAnsi="Aparajita" w:cs="Aparajita"/>
          <w:b/>
          <w:i/>
          <w:sz w:val="34"/>
          <w:szCs w:val="34"/>
        </w:rPr>
        <w:t>166</w:t>
      </w:r>
      <w:r w:rsidR="008F6B2C">
        <w:rPr>
          <w:rFonts w:ascii="Aparajita" w:hAnsi="Aparajita" w:cs="Aparajita"/>
          <w:b/>
          <w:i/>
          <w:sz w:val="34"/>
          <w:szCs w:val="34"/>
        </w:rPr>
        <w:t>-</w:t>
      </w:r>
      <w:r w:rsidR="00113F10">
        <w:rPr>
          <w:rFonts w:ascii="Aparajita" w:hAnsi="Aparajita" w:cs="Aparajita"/>
          <w:b/>
          <w:i/>
          <w:sz w:val="34"/>
          <w:szCs w:val="34"/>
        </w:rPr>
        <w:t>2023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</w:t>
      </w:r>
      <w:r w:rsidR="00CF7879">
        <w:rPr>
          <w:rFonts w:ascii="Aparajita" w:hAnsi="Aparajita" w:cs="Aparajita"/>
          <w:b/>
          <w:i/>
          <w:sz w:val="34"/>
          <w:szCs w:val="34"/>
        </w:rPr>
        <w:t>DIRESA-</w:t>
      </w:r>
      <w:r w:rsidRPr="003A2478">
        <w:rPr>
          <w:rFonts w:ascii="Aparajita" w:hAnsi="Aparajita" w:cs="Aparajita"/>
          <w:b/>
          <w:i/>
          <w:sz w:val="34"/>
          <w:szCs w:val="34"/>
        </w:rPr>
        <w:t>HPT</w:t>
      </w:r>
      <w:r w:rsidR="00CF7879">
        <w:rPr>
          <w:rFonts w:ascii="Aparajita" w:hAnsi="Aparajita" w:cs="Aparajita"/>
          <w:b/>
          <w:i/>
          <w:sz w:val="34"/>
          <w:szCs w:val="34"/>
        </w:rPr>
        <w:t>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3A2478" w:rsidRDefault="00182993" w:rsidP="00D06FD1">
      <w:pPr>
        <w:ind w:left="-142" w:right="-142"/>
        <w:jc w:val="right"/>
        <w:rPr>
          <w:rFonts w:ascii="Century Gothic" w:hAnsi="Century Gothic" w:cs="Arial"/>
          <w:b/>
          <w:i/>
          <w:sz w:val="22"/>
          <w:szCs w:val="22"/>
        </w:rPr>
      </w:pPr>
      <w:r w:rsidRPr="008F6B2C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113F10">
        <w:rPr>
          <w:rFonts w:ascii="Century Gothic" w:hAnsi="Century Gothic" w:cs="Aparajita"/>
          <w:b/>
          <w:i/>
          <w:sz w:val="22"/>
          <w:szCs w:val="22"/>
        </w:rPr>
        <w:t>01 de marzo del 2023</w:t>
      </w:r>
      <w:r w:rsidR="00D06FD1" w:rsidRPr="003A2478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182993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E741DB" w:rsidRPr="003A2478" w:rsidRDefault="00E741DB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E741DB" w:rsidRPr="003A2478" w:rsidRDefault="00182993" w:rsidP="009B61C4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 w:rsidRPr="00C974FB">
        <w:rPr>
          <w:rFonts w:ascii="Century Gothic" w:hAnsi="Century Gothic" w:cs="Aparajita"/>
          <w:i/>
          <w:sz w:val="22"/>
          <w:szCs w:val="22"/>
        </w:rPr>
        <w:t>El MEMORANDUM</w:t>
      </w:r>
      <w:r w:rsidR="00DE6CBA">
        <w:rPr>
          <w:rFonts w:ascii="Century Gothic" w:hAnsi="Century Gothic" w:cs="Aparajita"/>
          <w:i/>
          <w:sz w:val="22"/>
          <w:szCs w:val="22"/>
        </w:rPr>
        <w:t xml:space="preserve"> N° 00</w:t>
      </w:r>
      <w:r w:rsidR="00113F10">
        <w:rPr>
          <w:rFonts w:ascii="Century Gothic" w:hAnsi="Century Gothic" w:cs="Aparajita"/>
          <w:i/>
          <w:sz w:val="22"/>
          <w:szCs w:val="22"/>
        </w:rPr>
        <w:t>252</w:t>
      </w:r>
      <w:r w:rsidRPr="00C974FB">
        <w:rPr>
          <w:rFonts w:ascii="Century Gothic" w:hAnsi="Century Gothic" w:cs="Aparajita"/>
          <w:i/>
          <w:sz w:val="22"/>
          <w:szCs w:val="22"/>
        </w:rPr>
        <w:t>-202</w:t>
      </w:r>
      <w:r w:rsidR="00113F10">
        <w:rPr>
          <w:rFonts w:ascii="Century Gothic" w:hAnsi="Century Gothic" w:cs="Aparajita"/>
          <w:i/>
          <w:sz w:val="22"/>
          <w:szCs w:val="22"/>
        </w:rPr>
        <w:t>2</w:t>
      </w:r>
      <w:r w:rsidR="00252E8C">
        <w:rPr>
          <w:rFonts w:ascii="Century Gothic" w:hAnsi="Century Gothic" w:cs="Aparajita"/>
          <w:i/>
          <w:sz w:val="22"/>
          <w:szCs w:val="22"/>
        </w:rPr>
        <w:t>/GOB.REG.HVCA/HPT-D de fecha</w:t>
      </w:r>
      <w:r w:rsidR="00113F10">
        <w:rPr>
          <w:rFonts w:ascii="Century Gothic" w:hAnsi="Century Gothic" w:cs="Aparajita"/>
          <w:i/>
          <w:sz w:val="22"/>
          <w:szCs w:val="22"/>
        </w:rPr>
        <w:t xml:space="preserve"> 01</w:t>
      </w:r>
      <w:r w:rsidR="00711761">
        <w:rPr>
          <w:rFonts w:ascii="Century Gothic" w:hAnsi="Century Gothic" w:cs="Aparajita"/>
          <w:i/>
          <w:sz w:val="22"/>
          <w:szCs w:val="22"/>
        </w:rPr>
        <w:t xml:space="preserve"> de </w:t>
      </w:r>
      <w:r w:rsidR="00113F10">
        <w:rPr>
          <w:rFonts w:ascii="Century Gothic" w:hAnsi="Century Gothic" w:cs="Aparajita"/>
          <w:i/>
          <w:sz w:val="22"/>
          <w:szCs w:val="22"/>
        </w:rPr>
        <w:t>marzo</w:t>
      </w:r>
      <w:r w:rsidR="00711761">
        <w:rPr>
          <w:rFonts w:ascii="Century Gothic" w:hAnsi="Century Gothic" w:cs="Aparajita"/>
          <w:i/>
          <w:sz w:val="22"/>
          <w:szCs w:val="22"/>
        </w:rPr>
        <w:t xml:space="preserve"> del 202</w:t>
      </w:r>
      <w:r w:rsidR="00113F10">
        <w:rPr>
          <w:rFonts w:ascii="Century Gothic" w:hAnsi="Century Gothic" w:cs="Aparajita"/>
          <w:i/>
          <w:sz w:val="22"/>
          <w:szCs w:val="22"/>
        </w:rPr>
        <w:t>3</w:t>
      </w:r>
      <w:r w:rsidR="00711761">
        <w:rPr>
          <w:rFonts w:ascii="Century Gothic" w:hAnsi="Century Gothic" w:cs="Aparajita"/>
          <w:i/>
          <w:sz w:val="22"/>
          <w:szCs w:val="22"/>
        </w:rPr>
        <w:t xml:space="preserve">, La </w:t>
      </w:r>
      <w:r w:rsidRPr="00C974FB">
        <w:rPr>
          <w:rFonts w:ascii="Century Gothic" w:hAnsi="Century Gothic" w:cs="Aparajita"/>
          <w:i/>
          <w:sz w:val="22"/>
          <w:szCs w:val="22"/>
        </w:rPr>
        <w:t>Director</w:t>
      </w:r>
      <w:r w:rsidR="00711761">
        <w:rPr>
          <w:rFonts w:ascii="Century Gothic" w:hAnsi="Century Gothic" w:cs="Aparajita"/>
          <w:i/>
          <w:sz w:val="22"/>
          <w:szCs w:val="22"/>
        </w:rPr>
        <w:t>a</w:t>
      </w:r>
      <w:r w:rsidR="00113F10">
        <w:rPr>
          <w:rFonts w:ascii="Century Gothic" w:hAnsi="Century Gothic" w:cs="Aparajita"/>
          <w:i/>
          <w:sz w:val="22"/>
          <w:szCs w:val="22"/>
        </w:rPr>
        <w:t xml:space="preserve"> Ejecutiva</w:t>
      </w:r>
      <w:r w:rsidRPr="00C974FB">
        <w:rPr>
          <w:rFonts w:ascii="Century Gothic" w:hAnsi="Century Gothic" w:cs="Aparajita"/>
          <w:i/>
          <w:sz w:val="22"/>
          <w:szCs w:val="22"/>
        </w:rPr>
        <w:t xml:space="preserve"> del Hospital de Pampas- Tayacaja, </w:t>
      </w:r>
      <w:r w:rsidR="00F8466F">
        <w:rPr>
          <w:rFonts w:ascii="Century Gothic" w:hAnsi="Century Gothic" w:cs="Aparajita"/>
          <w:i/>
          <w:sz w:val="22"/>
          <w:szCs w:val="22"/>
        </w:rPr>
        <w:t xml:space="preserve">ordena </w:t>
      </w:r>
      <w:r w:rsidR="00F86FBD" w:rsidRPr="00113F10">
        <w:rPr>
          <w:rFonts w:ascii="Century Gothic" w:hAnsi="Century Gothic" w:cs="Aparajita"/>
          <w:b/>
          <w:i/>
          <w:sz w:val="22"/>
          <w:szCs w:val="22"/>
        </w:rPr>
        <w:t xml:space="preserve">PROYECTAR </w:t>
      </w:r>
      <w:r w:rsidR="00337200" w:rsidRPr="00113F10">
        <w:rPr>
          <w:rFonts w:ascii="Century Gothic" w:hAnsi="Century Gothic" w:cs="Aparajita"/>
          <w:b/>
          <w:i/>
          <w:sz w:val="22"/>
          <w:szCs w:val="22"/>
        </w:rPr>
        <w:t xml:space="preserve">ACTO </w:t>
      </w:r>
      <w:r w:rsidR="0062659F" w:rsidRPr="00113F10">
        <w:rPr>
          <w:rFonts w:ascii="Century Gothic" w:hAnsi="Century Gothic" w:cs="Aparajita"/>
          <w:b/>
          <w:i/>
          <w:sz w:val="22"/>
          <w:szCs w:val="22"/>
        </w:rPr>
        <w:t xml:space="preserve">RESOLUTIVO APROBANDO LA </w:t>
      </w:r>
      <w:r w:rsidR="00F62BBD" w:rsidRPr="00113F10">
        <w:rPr>
          <w:rFonts w:ascii="Century Gothic" w:hAnsi="Century Gothic" w:cs="Aparajita"/>
          <w:b/>
          <w:i/>
          <w:sz w:val="22"/>
          <w:szCs w:val="22"/>
        </w:rPr>
        <w:t>RE</w:t>
      </w:r>
      <w:r w:rsidR="00412629" w:rsidRPr="00113F10">
        <w:rPr>
          <w:rFonts w:ascii="Century Gothic" w:hAnsi="Century Gothic" w:cs="Aparajita"/>
          <w:b/>
          <w:i/>
          <w:sz w:val="22"/>
          <w:szCs w:val="22"/>
        </w:rPr>
        <w:t>CONF</w:t>
      </w:r>
      <w:r w:rsidR="0062659F" w:rsidRPr="00113F10">
        <w:rPr>
          <w:rFonts w:ascii="Century Gothic" w:hAnsi="Century Gothic" w:cs="Aparajita"/>
          <w:b/>
          <w:i/>
          <w:sz w:val="22"/>
          <w:szCs w:val="22"/>
        </w:rPr>
        <w:t>O</w:t>
      </w:r>
      <w:r w:rsidR="00F86FBD" w:rsidRPr="00113F10">
        <w:rPr>
          <w:rFonts w:ascii="Century Gothic" w:hAnsi="Century Gothic" w:cs="Aparajita"/>
          <w:b/>
          <w:i/>
          <w:sz w:val="22"/>
          <w:szCs w:val="22"/>
        </w:rPr>
        <w:t>RMACI</w:t>
      </w:r>
      <w:r w:rsidR="0062659F" w:rsidRPr="00113F10">
        <w:rPr>
          <w:rFonts w:ascii="Century Gothic" w:hAnsi="Century Gothic" w:cs="Aparajita"/>
          <w:b/>
          <w:i/>
          <w:sz w:val="22"/>
          <w:szCs w:val="22"/>
        </w:rPr>
        <w:t>Ò</w:t>
      </w:r>
      <w:r w:rsidR="00F86FBD" w:rsidRPr="00113F10">
        <w:rPr>
          <w:rFonts w:ascii="Century Gothic" w:hAnsi="Century Gothic" w:cs="Aparajita"/>
          <w:b/>
          <w:i/>
          <w:sz w:val="22"/>
          <w:szCs w:val="22"/>
        </w:rPr>
        <w:t xml:space="preserve">N DEL EQUIPO DE </w:t>
      </w:r>
      <w:r w:rsidR="00412629" w:rsidRPr="00113F10">
        <w:rPr>
          <w:rFonts w:ascii="Century Gothic" w:hAnsi="Century Gothic" w:cs="Aparajita"/>
          <w:b/>
          <w:i/>
          <w:sz w:val="22"/>
          <w:szCs w:val="22"/>
        </w:rPr>
        <w:t>UAMP</w:t>
      </w:r>
      <w:r w:rsidR="00412629">
        <w:rPr>
          <w:rFonts w:ascii="Century Gothic" w:hAnsi="Century Gothic" w:cs="Aparajita"/>
          <w:i/>
          <w:sz w:val="22"/>
          <w:szCs w:val="22"/>
        </w:rPr>
        <w:t xml:space="preserve"> (</w:t>
      </w:r>
      <w:r w:rsidR="00922A54">
        <w:rPr>
          <w:rFonts w:ascii="Century Gothic" w:hAnsi="Century Gothic" w:cs="Aparajita"/>
          <w:i/>
          <w:sz w:val="22"/>
          <w:szCs w:val="22"/>
        </w:rPr>
        <w:t>para</w:t>
      </w:r>
      <w:r w:rsidR="005C02A7">
        <w:rPr>
          <w:rFonts w:ascii="Century Gothic" w:hAnsi="Century Gothic" w:cs="Aparajita"/>
          <w:i/>
          <w:sz w:val="22"/>
          <w:szCs w:val="22"/>
        </w:rPr>
        <w:t xml:space="preserve"> la atención de pacientes con enfermedades de transmisión </w:t>
      </w:r>
      <w:r w:rsidR="0062659F">
        <w:rPr>
          <w:rFonts w:ascii="Century Gothic" w:hAnsi="Century Gothic" w:cs="Aparajita"/>
          <w:i/>
          <w:sz w:val="22"/>
          <w:szCs w:val="22"/>
        </w:rPr>
        <w:t>sexual) DEL</w:t>
      </w:r>
      <w:r w:rsidR="00F86FBD">
        <w:rPr>
          <w:rFonts w:ascii="Century Gothic" w:hAnsi="Century Gothic" w:cs="Aparajita"/>
          <w:i/>
          <w:sz w:val="22"/>
          <w:szCs w:val="22"/>
        </w:rPr>
        <w:t xml:space="preserve"> HOSPITAL DE PAMPAS DE TAYACAJA.</w:t>
      </w: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204414" w:rsidRDefault="00204414" w:rsidP="00204414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competencia, conforme al artículo 2° de la Ley Nº 27867 – Ley Orgánica de Gobiernos Regionales, concordante con el artículo 191° de la Ley N° 27680</w:t>
      </w:r>
      <w:r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204414" w:rsidRDefault="00204414" w:rsidP="00204414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left="-142"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    Que, el numeral V del Título Preliminar de la Ley N° 26942, Ley General de Salud dispone que es responsabilidad del Estado vigilar, cautelar y atender, entre otros, los problemas de desnutrición de la población;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left="-142"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   Que, el artículo 123 de la acotada Ley establece que el Ministerio de Salud es la Autoridad de Salud de nivel nacional, que tiene a su cargo la formulación, dirección y gestión de la política de salud actúa como la máxima autoridad normativa en materia de salud;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    Que, el artículo 4 del Decreto Legislativo N° 1161, Ley de Organizaciones y Funciones del Ministerio de Salud, dispone que el Sector Salud está conformado por el Ministerio de salud, como organismo rector, las entidades adscritas a </w:t>
      </w:r>
      <w:proofErr w:type="spellStart"/>
      <w:r>
        <w:rPr>
          <w:rFonts w:ascii="Century Gothic" w:eastAsia="Batang" w:hAnsi="Century Gothic" w:cs="Aparajita"/>
          <w:i/>
          <w:sz w:val="22"/>
          <w:szCs w:val="22"/>
        </w:rPr>
        <w:t>el</w:t>
      </w:r>
      <w:proofErr w:type="spellEnd"/>
      <w:r>
        <w:rPr>
          <w:rFonts w:ascii="Century Gothic" w:eastAsia="Batang" w:hAnsi="Century Gothic" w:cs="Aparajita"/>
          <w:i/>
          <w:sz w:val="22"/>
          <w:szCs w:val="22"/>
        </w:rPr>
        <w:t xml:space="preserve"> y aquellas instituciones públicas y privadas de nivel nacional, regional y local, y personas naturales que realizan actividades vinculadas a las competencias establecidas en dicha Ley, y que tienen impacto directo o indirecto en la salud, individual o colectivo;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 w:firstLine="720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8B3138"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>
        <w:rPr>
          <w:rFonts w:ascii="Century Gothic" w:eastAsia="Batang" w:hAnsi="Century Gothic" w:cs="Aparajita"/>
          <w:i/>
          <w:sz w:val="22"/>
          <w:szCs w:val="22"/>
        </w:rPr>
        <w:t>en los literales a) y b), del artículo 5 de la precitada Ley, se señala que son funciones rectoras del Ministerio de Salud: formular, planear, dirigir, coordinar, ejecutar, supervisar y evaluar la política nacional y sectorial de promoción de la salud, prevención de enfermedades, recuperación, rehabilitación en salud y buenas prácticas en salud; y, dictar normas y lineamientos técnicos para la adecuada ejecución y supervisión de las políticas nacionales y sectoriales;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Que, el artículo 63 del Reglamento de Organizaciones y Funciones del Ministerio de Salud, aprobado por Decreto Supremo N° 008-2017-SA, y su modificatorias, establece que la Dirección de Intervenciones Estratégicas en Salud Publica, es el órgano de línea del Ministerio de Salud, dependiente del Viceministerio de Salud Pública, competente, entre otros, para dirigir y coordinar las intervenciones </w:t>
      </w:r>
      <w:r>
        <w:rPr>
          <w:rFonts w:ascii="Century Gothic" w:eastAsia="Batang" w:hAnsi="Century Gothic" w:cs="Aparajita"/>
          <w:i/>
          <w:sz w:val="22"/>
          <w:szCs w:val="22"/>
        </w:rPr>
        <w:lastRenderedPageBreak/>
        <w:t>estratégicas en salud publica en materia de intervenciones por curso de vida y cuidado integral y promoción de la salud;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Que, el literal b) del artículo 64 del precitado Reglamento, establece como una de las funciones de la Dirección General de Intervenciones Estratégicas en Salud Publica: proponer, evaluar y supervisar la implementación de políticas, normas, lineamientos y otros documentos normativos materia de intervenciones estratégicas en Salud Publica;   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Pr="00EB47C2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  <w:lang w:val="es-PE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</w: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Que, mediante la ley General de Salud –Ley N° 26842, establece en el artículo V del título Preliminar de interés público la provisión de servicios de salud, cualquiera sea la persona o institución que lo provea. Es responsabilidad del Estado promover las condiciones, que garanticen una adecuada cobertura de prestaciones de salud a la población, en términos socialmente aceptables de seguridad, oportunidad y calidad;</w:t>
      </w:r>
    </w:p>
    <w:p w:rsidR="00204414" w:rsidRPr="00EB47C2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 Que, en el marco del Sistema de gestión de la Calidad en Salud, aprobado bajo la resolución Ministerial N° 519-2006/MINSA y Política Nacional de la Calidad en Salud, la prestación de Salud es el resultado de los esfuerzos e intervenciones desplegadas, basadas en garantizar la seguridad y el trato humano para todos y cada uno de los usuarios de los servicios de salud, de esta manera la cultura de seguridad del paciente viene a ser un lineamiento fundamental que determina la calidad de la atención que se brinda al usuario constituyéndose a un asunto de interés general en el área de la salud;</w:t>
      </w:r>
    </w:p>
    <w:p w:rsidR="00204414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04414" w:rsidRPr="00EB47C2" w:rsidRDefault="00204414" w:rsidP="00204414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Que, mediante 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INFORME Nº 007-2023</w:t>
      </w:r>
      <w:r>
        <w:rPr>
          <w:rFonts w:ascii="Century Gothic" w:eastAsia="Batang" w:hAnsi="Century Gothic" w:cs="Aparajita"/>
          <w:i/>
          <w:sz w:val="22"/>
          <w:szCs w:val="22"/>
        </w:rPr>
        <w:t>/GOB.REG.HVCA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, de fecha 28 de febrero del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202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3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, la responsable de 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la estrategia ITS-VIH/SIDA, del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Hospital de Pampas de Tayacaja, solicita a la 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Dirección Ejecutiva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del Hospital de </w:t>
      </w:r>
      <w:r w:rsidR="00113F10">
        <w:rPr>
          <w:rFonts w:ascii="Century Gothic" w:eastAsia="Batang" w:hAnsi="Century Gothic" w:cs="Aparajita"/>
          <w:i/>
          <w:sz w:val="22"/>
          <w:szCs w:val="22"/>
        </w:rPr>
        <w:t>Pampas de Tayacaja, aprobar la R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econformación de los distintos comités, ya que, debido al retiro del personal, estas no se encontrarían con todos los miembros que conforman los comités; </w:t>
      </w:r>
    </w:p>
    <w:p w:rsidR="00204414" w:rsidRDefault="00204414" w:rsidP="00204414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113F10" w:rsidRPr="004B6469" w:rsidRDefault="00113F10" w:rsidP="00113F10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4B6469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Pr="004B6469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4B6469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4B6469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CD.  AYALA DIAZ, Lourdes Analía</w:t>
      </w:r>
      <w:r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,</w:t>
      </w:r>
      <w:r w:rsidRPr="004B6469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F62BBD" w:rsidRDefault="00F62BBD" w:rsidP="00F62BBD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  <w:r w:rsidRPr="008868BC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;</w:t>
      </w:r>
    </w:p>
    <w:p w:rsidR="00204414" w:rsidRPr="003A2478" w:rsidRDefault="00204414" w:rsidP="00204414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 xml:space="preserve">      Estando a lo informado y c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on </w:t>
      </w:r>
      <w:r>
        <w:rPr>
          <w:rFonts w:ascii="Century Gothic" w:hAnsi="Century Gothic" w:cs="Aparajita"/>
          <w:i/>
          <w:sz w:val="22"/>
          <w:szCs w:val="22"/>
        </w:rPr>
        <w:t>las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</w:t>
      </w:r>
      <w:proofErr w:type="spellStart"/>
      <w:r w:rsidRPr="003A2478">
        <w:rPr>
          <w:rFonts w:ascii="Century Gothic" w:hAnsi="Century Gothic" w:cs="Aparajita"/>
          <w:i/>
          <w:sz w:val="22"/>
          <w:szCs w:val="22"/>
        </w:rPr>
        <w:t>visa</w:t>
      </w:r>
      <w:r>
        <w:rPr>
          <w:rFonts w:ascii="Century Gothic" w:hAnsi="Century Gothic" w:cs="Aparajita"/>
          <w:i/>
          <w:sz w:val="22"/>
          <w:szCs w:val="22"/>
        </w:rPr>
        <w:t>ciones</w:t>
      </w:r>
      <w:proofErr w:type="spellEnd"/>
      <w:r>
        <w:rPr>
          <w:rFonts w:ascii="Century Gothic" w:hAnsi="Century Gothic" w:cs="Aparajita"/>
          <w:i/>
          <w:sz w:val="22"/>
          <w:szCs w:val="22"/>
        </w:rPr>
        <w:t xml:space="preserve">, </w:t>
      </w:r>
      <w:r w:rsidRPr="003A2478">
        <w:rPr>
          <w:rFonts w:ascii="Century Gothic" w:hAnsi="Century Gothic" w:cs="Aparajita"/>
          <w:i/>
          <w:sz w:val="22"/>
          <w:szCs w:val="22"/>
        </w:rPr>
        <w:t>del Jefe de Oficina de Administración</w:t>
      </w:r>
      <w:r>
        <w:rPr>
          <w:rFonts w:ascii="Century Gothic" w:hAnsi="Century Gothic" w:cs="Aparajita"/>
          <w:i/>
          <w:sz w:val="22"/>
          <w:szCs w:val="22"/>
        </w:rPr>
        <w:t xml:space="preserve"> y de la Unidad de Asesoría Jurídica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>
        <w:rPr>
          <w:rFonts w:ascii="Century Gothic" w:hAnsi="Century Gothic" w:cs="Aparajita"/>
          <w:i/>
          <w:sz w:val="22"/>
          <w:szCs w:val="22"/>
        </w:rPr>
        <w:t>, y;</w:t>
      </w:r>
    </w:p>
    <w:p w:rsidR="00204414" w:rsidRPr="003A2478" w:rsidRDefault="00204414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04414" w:rsidRDefault="00204414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00876" w:rsidRDefault="00100876" w:rsidP="00204414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04414" w:rsidRDefault="00204414" w:rsidP="00204414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lastRenderedPageBreak/>
        <w:t>SE RESUELVE:</w:t>
      </w:r>
    </w:p>
    <w:p w:rsidR="00204414" w:rsidRDefault="00204414" w:rsidP="00204414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204414" w:rsidRDefault="00204414" w:rsidP="00204414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84CBE">
        <w:rPr>
          <w:rFonts w:ascii="Century Gothic" w:hAnsi="Century Gothic" w:cs="Aparajita"/>
          <w:b/>
          <w:i/>
          <w:sz w:val="22"/>
          <w:szCs w:val="22"/>
        </w:rPr>
        <w:t>ARTÍCULO 1º.- APROBAR</w:t>
      </w:r>
      <w:r>
        <w:rPr>
          <w:rFonts w:ascii="Century Gothic" w:hAnsi="Century Gothic" w:cs="Aparajita"/>
          <w:i/>
          <w:sz w:val="22"/>
          <w:szCs w:val="22"/>
        </w:rPr>
        <w:t xml:space="preserve">, la </w:t>
      </w:r>
      <w:r>
        <w:rPr>
          <w:rFonts w:ascii="Century Gothic" w:hAnsi="Century Gothic" w:cs="Aparajita"/>
          <w:b/>
          <w:i/>
          <w:sz w:val="22"/>
          <w:szCs w:val="22"/>
        </w:rPr>
        <w:t>RECONFORMACION</w:t>
      </w:r>
      <w:r w:rsidR="00F62BBD">
        <w:rPr>
          <w:rFonts w:ascii="Century Gothic" w:hAnsi="Century Gothic" w:cs="Aparajita"/>
          <w:i/>
          <w:sz w:val="22"/>
          <w:szCs w:val="22"/>
        </w:rPr>
        <w:t xml:space="preserve"> DEL EQUIPO DE UAMP (para la atención de pacientes con enfermedades de transmisión sexual) DEL HOSPITAL DE PAMPAS DE TAYACAJA</w:t>
      </w:r>
      <w:r>
        <w:rPr>
          <w:rFonts w:ascii="Century Gothic" w:hAnsi="Century Gothic" w:cs="Aparajita"/>
          <w:i/>
          <w:sz w:val="22"/>
          <w:szCs w:val="22"/>
        </w:rPr>
        <w:t>. La cual se detalla:</w:t>
      </w:r>
    </w:p>
    <w:p w:rsidR="00204414" w:rsidRDefault="00204414" w:rsidP="00204414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04414" w:rsidRPr="00683016" w:rsidRDefault="00204414" w:rsidP="00204414">
      <w:pPr>
        <w:pStyle w:val="Prrafodelista"/>
        <w:spacing w:line="276" w:lineRule="auto"/>
        <w:ind w:right="49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204414" w:rsidRPr="005A68E4" w:rsidTr="00041E9C">
        <w:tc>
          <w:tcPr>
            <w:tcW w:w="8494" w:type="dxa"/>
            <w:gridSpan w:val="2"/>
            <w:vAlign w:val="center"/>
          </w:tcPr>
          <w:p w:rsidR="00204414" w:rsidRPr="005A68E4" w:rsidRDefault="00B77657" w:rsidP="00041E9C">
            <w:pPr>
              <w:spacing w:line="276" w:lineRule="auto"/>
              <w:ind w:right="49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INTEGRANTES 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M.C Luis</w:t>
            </w:r>
            <w:r w:rsidR="00113F10">
              <w:rPr>
                <w:rFonts w:ascii="Century Gothic" w:hAnsi="Century Gothic" w:cs="Aparajita"/>
                <w:i/>
                <w:sz w:val="22"/>
                <w:szCs w:val="22"/>
              </w:rPr>
              <w:t xml:space="preserve"> Arturo </w:t>
            </w: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 Fernández </w:t>
            </w:r>
            <w:r w:rsidR="00113F10">
              <w:rPr>
                <w:rFonts w:ascii="Century Gothic" w:hAnsi="Century Gothic" w:cs="Aparajita"/>
                <w:i/>
                <w:sz w:val="22"/>
                <w:szCs w:val="22"/>
              </w:rPr>
              <w:t>Roldan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MEDICO INTERNISTA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M.C Héctor Gonzales Otario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MEDICO GENERAL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113F10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Lic. Enf. </w:t>
            </w:r>
            <w:r w:rsidR="00113F10">
              <w:rPr>
                <w:rFonts w:ascii="Century Gothic" w:hAnsi="Century Gothic" w:cs="Aparajita"/>
                <w:i/>
                <w:sz w:val="22"/>
                <w:szCs w:val="22"/>
              </w:rPr>
              <w:t>Fiorella Vanessa  Ramos Parco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ENFERMERIA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113F10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Obsta. </w:t>
            </w:r>
            <w:proofErr w:type="spellStart"/>
            <w:r w:rsidR="00113F10">
              <w:rPr>
                <w:rFonts w:ascii="Century Gothic" w:hAnsi="Century Gothic" w:cs="Aparajita"/>
                <w:i/>
                <w:sz w:val="22"/>
                <w:szCs w:val="22"/>
              </w:rPr>
              <w:t>Karem</w:t>
            </w:r>
            <w:proofErr w:type="spellEnd"/>
            <w:r w:rsidR="00113F10">
              <w:rPr>
                <w:rFonts w:ascii="Century Gothic" w:hAnsi="Century Gothic" w:cs="Aparajita"/>
                <w:i/>
                <w:sz w:val="22"/>
                <w:szCs w:val="22"/>
              </w:rPr>
              <w:t xml:space="preserve"> </w:t>
            </w:r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 xml:space="preserve">Cintia </w:t>
            </w:r>
            <w:proofErr w:type="spellStart"/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>Paitan</w:t>
            </w:r>
            <w:proofErr w:type="spellEnd"/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 xml:space="preserve"> Camargo 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OBSTETRA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parajita"/>
                <w:i/>
                <w:sz w:val="22"/>
                <w:szCs w:val="22"/>
              </w:rPr>
              <w:t>Ps</w:t>
            </w:r>
            <w:proofErr w:type="spellEnd"/>
            <w:r>
              <w:rPr>
                <w:rFonts w:ascii="Century Gothic" w:hAnsi="Century Gothic" w:cs="Aparajita"/>
                <w:i/>
                <w:sz w:val="22"/>
                <w:szCs w:val="22"/>
              </w:rPr>
              <w:t>. Nora Irene Escobar Torres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PSICOLOGO 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parajita"/>
                <w:i/>
                <w:sz w:val="22"/>
                <w:szCs w:val="22"/>
              </w:rPr>
              <w:t>Yaqueline</w:t>
            </w:r>
            <w:proofErr w:type="spellEnd"/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 Elizabeth Espinoza </w:t>
            </w:r>
            <w:proofErr w:type="spellStart"/>
            <w:r>
              <w:rPr>
                <w:rFonts w:ascii="Century Gothic" w:hAnsi="Century Gothic" w:cs="Aparajita"/>
                <w:i/>
                <w:sz w:val="22"/>
                <w:szCs w:val="22"/>
              </w:rPr>
              <w:t>Unchupaico</w:t>
            </w:r>
            <w:proofErr w:type="spellEnd"/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ASISTENTA SOCIAL 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Judith </w:t>
            </w:r>
            <w:proofErr w:type="spellStart"/>
            <w:r>
              <w:rPr>
                <w:rFonts w:ascii="Century Gothic" w:hAnsi="Century Gothic" w:cs="Aparajita"/>
                <w:i/>
                <w:sz w:val="22"/>
                <w:szCs w:val="22"/>
              </w:rPr>
              <w:t>Choquegonza</w:t>
            </w:r>
            <w:proofErr w:type="spellEnd"/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 Carrillo 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NUTRICIONISTA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Tec. </w:t>
            </w:r>
            <w:proofErr w:type="spellStart"/>
            <w:r>
              <w:rPr>
                <w:rFonts w:ascii="Century Gothic" w:hAnsi="Century Gothic" w:cs="Aparajita"/>
                <w:i/>
                <w:sz w:val="22"/>
                <w:szCs w:val="22"/>
              </w:rPr>
              <w:t>Lab</w:t>
            </w:r>
            <w:proofErr w:type="spellEnd"/>
            <w:r>
              <w:rPr>
                <w:rFonts w:ascii="Century Gothic" w:hAnsi="Century Gothic" w:cs="Aparajita"/>
                <w:i/>
                <w:sz w:val="22"/>
                <w:szCs w:val="22"/>
              </w:rPr>
              <w:t>.</w:t>
            </w:r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 xml:space="preserve"> Cesar </w:t>
            </w:r>
            <w:r>
              <w:rPr>
                <w:rFonts w:ascii="Century Gothic" w:hAnsi="Century Gothic" w:cs="Aparajita"/>
                <w:i/>
                <w:sz w:val="22"/>
                <w:szCs w:val="22"/>
              </w:rPr>
              <w:t>Manuel Sánchez</w:t>
            </w:r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 xml:space="preserve"> Alpaca</w:t>
            </w: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>LABORATORIO</w:t>
            </w:r>
          </w:p>
        </w:tc>
      </w:tr>
      <w:tr w:rsidR="00204414" w:rsidRPr="005A68E4" w:rsidTr="00F562C1">
        <w:tc>
          <w:tcPr>
            <w:tcW w:w="4815" w:type="dxa"/>
          </w:tcPr>
          <w:p w:rsidR="00204414" w:rsidRDefault="00204414" w:rsidP="00137D75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Q.F </w:t>
            </w:r>
            <w:proofErr w:type="spellStart"/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>Enma</w:t>
            </w:r>
            <w:proofErr w:type="spellEnd"/>
            <w:r w:rsidR="00137D75">
              <w:rPr>
                <w:rFonts w:ascii="Century Gothic" w:hAnsi="Century Gothic" w:cs="Aparajita"/>
                <w:i/>
                <w:sz w:val="22"/>
                <w:szCs w:val="22"/>
              </w:rPr>
              <w:t xml:space="preserve"> Mucha Ore</w:t>
            </w: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79" w:type="dxa"/>
          </w:tcPr>
          <w:p w:rsidR="00204414" w:rsidRDefault="00204414" w:rsidP="00204414">
            <w:pPr>
              <w:ind w:right="-142"/>
              <w:jc w:val="both"/>
              <w:rPr>
                <w:rFonts w:ascii="Century Gothic" w:hAnsi="Century Gothic" w:cs="Aparajita"/>
                <w:i/>
                <w:sz w:val="22"/>
                <w:szCs w:val="22"/>
              </w:rPr>
            </w:pPr>
            <w:r>
              <w:rPr>
                <w:rFonts w:ascii="Century Gothic" w:hAnsi="Century Gothic" w:cs="Aparajita"/>
                <w:i/>
                <w:sz w:val="22"/>
                <w:szCs w:val="22"/>
              </w:rPr>
              <w:t xml:space="preserve">FARMACIA </w:t>
            </w:r>
          </w:p>
        </w:tc>
      </w:tr>
    </w:tbl>
    <w:p w:rsidR="00E741DB" w:rsidRPr="005D5C07" w:rsidRDefault="000D13F5" w:rsidP="005D5C07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Pr="00D8420A">
        <w:rPr>
          <w:rFonts w:ascii="Century Gothic" w:hAnsi="Century Gothic" w:cs="Aparajita"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  <w:r w:rsidR="00E741DB">
        <w:rPr>
          <w:rFonts w:ascii="Century Gothic" w:hAnsi="Century Gothic" w:cs="Aparajita"/>
          <w:b/>
          <w:i/>
          <w:sz w:val="22"/>
          <w:szCs w:val="22"/>
        </w:rPr>
        <w:tab/>
      </w:r>
    </w:p>
    <w:p w:rsidR="0062659F" w:rsidRDefault="0062659F" w:rsidP="0062659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>
        <w:rPr>
          <w:rFonts w:ascii="Century Gothic" w:hAnsi="Century Gothic" w:cs="Aparajita"/>
          <w:b/>
          <w:i/>
          <w:sz w:val="22"/>
          <w:szCs w:val="22"/>
        </w:rPr>
        <w:t>ENCARGAR,</w:t>
      </w:r>
      <w:r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presente.</w:t>
      </w:r>
    </w:p>
    <w:p w:rsidR="0062659F" w:rsidRPr="00376774" w:rsidRDefault="0062659F" w:rsidP="0062659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62659F" w:rsidRDefault="0062659F" w:rsidP="0062659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3°. </w:t>
      </w:r>
      <w:r>
        <w:rPr>
          <w:rFonts w:ascii="Century Gothic" w:hAnsi="Century Gothic" w:cs="Aparajita"/>
          <w:b/>
          <w:i/>
          <w:sz w:val="22"/>
          <w:szCs w:val="22"/>
        </w:rPr>
        <w:t>–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DEJAR SIN EFECTO, </w:t>
      </w:r>
      <w:r>
        <w:rPr>
          <w:rFonts w:ascii="Century Gothic" w:hAnsi="Century Gothic" w:cs="Aparajita"/>
          <w:i/>
          <w:sz w:val="22"/>
          <w:szCs w:val="22"/>
        </w:rPr>
        <w:t>cualquier acto administrativo de igual o menor jerarquía que se oponga a la presente Resolución</w:t>
      </w:r>
      <w:r w:rsidRPr="00947346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 w:rsidR="0062659F">
        <w:rPr>
          <w:rFonts w:ascii="Century Gothic" w:hAnsi="Century Gothic" w:cs="Aparajita"/>
          <w:b/>
          <w:i/>
          <w:sz w:val="22"/>
          <w:szCs w:val="22"/>
        </w:rPr>
        <w:t>4</w:t>
      </w:r>
      <w:r w:rsidRPr="00333212">
        <w:rPr>
          <w:rFonts w:ascii="Century Gothic" w:hAnsi="Century Gothic" w:cs="Aparajita"/>
          <w:b/>
          <w:i/>
          <w:sz w:val="22"/>
          <w:szCs w:val="22"/>
        </w:rPr>
        <w:t>°.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 -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NOTIFICAR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la presente Resolución a los órganos competentes del Hospital de Pampas de Tayacaja</w:t>
      </w:r>
      <w:r>
        <w:rPr>
          <w:rFonts w:ascii="Century Gothic" w:hAnsi="Century Gothic" w:cs="Aparajita"/>
          <w:i/>
          <w:sz w:val="22"/>
          <w:szCs w:val="22"/>
        </w:rPr>
        <w:t xml:space="preserve"> como al </w:t>
      </w:r>
      <w:r w:rsidRPr="003A2478">
        <w:rPr>
          <w:rFonts w:ascii="Century Gothic" w:hAnsi="Century Gothic" w:cs="Aparajita"/>
          <w:i/>
          <w:sz w:val="22"/>
          <w:szCs w:val="22"/>
        </w:rPr>
        <w:t>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Y CÚMPLASE</w:t>
      </w:r>
    </w:p>
    <w:p w:rsidR="00182993" w:rsidRDefault="00182993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37200" w:rsidRDefault="00337200" w:rsidP="00182993">
      <w:pPr>
        <w:ind w:left="-142" w:right="-142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37200" w:rsidRDefault="00337200" w:rsidP="00182993">
      <w:pPr>
        <w:ind w:left="-142" w:right="-142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6D64" w:rsidRDefault="009B6D64" w:rsidP="00182993">
      <w:pPr>
        <w:ind w:left="-142" w:right="-142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8466F" w:rsidRDefault="00F8466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8466F" w:rsidRDefault="00F8466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8466F" w:rsidRDefault="00F8466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Default="0062659F" w:rsidP="00354C74">
      <w:pPr>
        <w:ind w:left="-142" w:right="-142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2659F" w:rsidRPr="00F546B1" w:rsidRDefault="0062659F" w:rsidP="00F546B1">
      <w:pPr>
        <w:pStyle w:val="Sinespaciado"/>
        <w:rPr>
          <w:rFonts w:ascii="Arial" w:hAnsi="Arial" w:cs="Arial"/>
          <w:sz w:val="18"/>
        </w:rPr>
      </w:pPr>
    </w:p>
    <w:p w:rsidR="00182993" w:rsidRPr="00F546B1" w:rsidRDefault="00F546B1" w:rsidP="00F546B1">
      <w:pPr>
        <w:pStyle w:val="Sinespaciado"/>
        <w:rPr>
          <w:rFonts w:ascii="Arial" w:hAnsi="Arial" w:cs="Arial"/>
          <w:sz w:val="18"/>
        </w:rPr>
      </w:pPr>
      <w:r w:rsidRPr="00F546B1">
        <w:rPr>
          <w:rFonts w:ascii="Arial" w:hAnsi="Arial" w:cs="Arial"/>
          <w:sz w:val="18"/>
        </w:rPr>
        <w:t xml:space="preserve">Nuevo Reg. Documento: </w:t>
      </w:r>
      <w:r w:rsidR="00E1185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02584291</w:t>
      </w:r>
      <w:r w:rsidRPr="00F546B1">
        <w:rPr>
          <w:rFonts w:ascii="Arial" w:hAnsi="Arial" w:cs="Arial"/>
          <w:sz w:val="18"/>
        </w:rPr>
        <w:br/>
      </w:r>
      <w:r w:rsidRPr="00F546B1">
        <w:rPr>
          <w:rFonts w:ascii="Arial" w:hAnsi="Arial" w:cs="Arial"/>
          <w:sz w:val="18"/>
        </w:rPr>
        <w:br/>
        <w:t xml:space="preserve">Nuevo Reg. Expediente: </w:t>
      </w:r>
      <w:r w:rsidR="00E1185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01907343 </w:t>
      </w:r>
      <w:bookmarkStart w:id="0" w:name="_GoBack"/>
      <w:bookmarkEnd w:id="0"/>
    </w:p>
    <w:sectPr w:rsidR="00182993" w:rsidRPr="00F546B1" w:rsidSect="002A0A06">
      <w:headerReference w:type="default" r:id="rId7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4C" w:rsidRDefault="00CB424C">
      <w:r>
        <w:separator/>
      </w:r>
    </w:p>
  </w:endnote>
  <w:endnote w:type="continuationSeparator" w:id="0">
    <w:p w:rsidR="00CB424C" w:rsidRDefault="00CB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4C" w:rsidRDefault="00CB424C">
      <w:r>
        <w:separator/>
      </w:r>
    </w:p>
  </w:footnote>
  <w:footnote w:type="continuationSeparator" w:id="0">
    <w:p w:rsidR="00CB424C" w:rsidRDefault="00CB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CB424C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243292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0AE1"/>
    <w:multiLevelType w:val="hybridMultilevel"/>
    <w:tmpl w:val="5ED21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65E62"/>
    <w:rsid w:val="00067754"/>
    <w:rsid w:val="00097166"/>
    <w:rsid w:val="000A0B96"/>
    <w:rsid w:val="000A448E"/>
    <w:rsid w:val="000B06C9"/>
    <w:rsid w:val="000D13F5"/>
    <w:rsid w:val="000E0C07"/>
    <w:rsid w:val="00100876"/>
    <w:rsid w:val="00113F10"/>
    <w:rsid w:val="00137D75"/>
    <w:rsid w:val="0015015F"/>
    <w:rsid w:val="00182993"/>
    <w:rsid w:val="001846BE"/>
    <w:rsid w:val="001A2A4D"/>
    <w:rsid w:val="00204414"/>
    <w:rsid w:val="00243292"/>
    <w:rsid w:val="002451A1"/>
    <w:rsid w:val="00252E8C"/>
    <w:rsid w:val="002C729A"/>
    <w:rsid w:val="003179ED"/>
    <w:rsid w:val="003249D7"/>
    <w:rsid w:val="00337200"/>
    <w:rsid w:val="00354C74"/>
    <w:rsid w:val="00410D31"/>
    <w:rsid w:val="00412629"/>
    <w:rsid w:val="0043536D"/>
    <w:rsid w:val="00481AC3"/>
    <w:rsid w:val="004F4AD4"/>
    <w:rsid w:val="0051258D"/>
    <w:rsid w:val="00570766"/>
    <w:rsid w:val="00596B1A"/>
    <w:rsid w:val="005C02A7"/>
    <w:rsid w:val="005D5C07"/>
    <w:rsid w:val="005E45EB"/>
    <w:rsid w:val="006065F4"/>
    <w:rsid w:val="006113CC"/>
    <w:rsid w:val="00617B3F"/>
    <w:rsid w:val="0062659F"/>
    <w:rsid w:val="00631CAF"/>
    <w:rsid w:val="006757E1"/>
    <w:rsid w:val="00711761"/>
    <w:rsid w:val="00713114"/>
    <w:rsid w:val="008536EF"/>
    <w:rsid w:val="008D33FF"/>
    <w:rsid w:val="008E57E2"/>
    <w:rsid w:val="008F6B2C"/>
    <w:rsid w:val="00922A54"/>
    <w:rsid w:val="00961D53"/>
    <w:rsid w:val="009B61C4"/>
    <w:rsid w:val="009B6D64"/>
    <w:rsid w:val="009D2105"/>
    <w:rsid w:val="009F5E69"/>
    <w:rsid w:val="00A12CF4"/>
    <w:rsid w:val="00A60ED6"/>
    <w:rsid w:val="00A812B1"/>
    <w:rsid w:val="00A94C32"/>
    <w:rsid w:val="00AD7F93"/>
    <w:rsid w:val="00B51588"/>
    <w:rsid w:val="00B55158"/>
    <w:rsid w:val="00B755FC"/>
    <w:rsid w:val="00B76D8D"/>
    <w:rsid w:val="00B77657"/>
    <w:rsid w:val="00BC6240"/>
    <w:rsid w:val="00C10C32"/>
    <w:rsid w:val="00C27D65"/>
    <w:rsid w:val="00C52DF4"/>
    <w:rsid w:val="00C62243"/>
    <w:rsid w:val="00C737FB"/>
    <w:rsid w:val="00C974FB"/>
    <w:rsid w:val="00CB0E70"/>
    <w:rsid w:val="00CB424C"/>
    <w:rsid w:val="00CD38AD"/>
    <w:rsid w:val="00CF7879"/>
    <w:rsid w:val="00D06FD1"/>
    <w:rsid w:val="00D404EE"/>
    <w:rsid w:val="00D77E79"/>
    <w:rsid w:val="00D8420A"/>
    <w:rsid w:val="00DB5225"/>
    <w:rsid w:val="00DE6CBA"/>
    <w:rsid w:val="00E1185E"/>
    <w:rsid w:val="00E33169"/>
    <w:rsid w:val="00E54EA1"/>
    <w:rsid w:val="00E5733B"/>
    <w:rsid w:val="00E72C99"/>
    <w:rsid w:val="00E741DB"/>
    <w:rsid w:val="00E77F41"/>
    <w:rsid w:val="00EA35B5"/>
    <w:rsid w:val="00EA5A58"/>
    <w:rsid w:val="00EC3319"/>
    <w:rsid w:val="00EC50C4"/>
    <w:rsid w:val="00F15C64"/>
    <w:rsid w:val="00F265C5"/>
    <w:rsid w:val="00F43A45"/>
    <w:rsid w:val="00F546B1"/>
    <w:rsid w:val="00F62BBD"/>
    <w:rsid w:val="00F8466F"/>
    <w:rsid w:val="00F86FBD"/>
    <w:rsid w:val="00F9620E"/>
    <w:rsid w:val="00FB446A"/>
    <w:rsid w:val="00FC70C8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5410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D13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5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6</cp:revision>
  <cp:lastPrinted>2021-12-09T16:43:00Z</cp:lastPrinted>
  <dcterms:created xsi:type="dcterms:W3CDTF">2023-03-07T14:46:00Z</dcterms:created>
  <dcterms:modified xsi:type="dcterms:W3CDTF">2023-03-07T17:47:00Z</dcterms:modified>
</cp:coreProperties>
</file>