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993" w:rsidRPr="003A2478" w:rsidRDefault="00182993" w:rsidP="00182993">
      <w:pPr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 w:rsidRPr="003A2478">
        <w:rPr>
          <w:rFonts w:ascii="Aparajita" w:hAnsi="Aparajita" w:cs="Aparajita"/>
          <w:b/>
          <w:i/>
          <w:sz w:val="34"/>
          <w:szCs w:val="34"/>
        </w:rPr>
        <w:t>RESOLUCI</w:t>
      </w:r>
      <w:r w:rsidRPr="005453D5">
        <w:rPr>
          <w:rFonts w:ascii="Aparajita" w:hAnsi="Aparajita" w:cs="Aparajita"/>
          <w:b/>
          <w:i/>
          <w:sz w:val="34"/>
          <w:szCs w:val="34"/>
        </w:rPr>
        <w:t>Ó</w:t>
      </w:r>
      <w:r w:rsidRPr="003A2478">
        <w:rPr>
          <w:rFonts w:ascii="Aparajita" w:hAnsi="Aparajita" w:cs="Aparajita"/>
          <w:b/>
          <w:i/>
          <w:sz w:val="34"/>
          <w:szCs w:val="34"/>
        </w:rPr>
        <w:t>N DIRECTORAL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jc w:val="center"/>
        <w:rPr>
          <w:rFonts w:ascii="Aparajita" w:hAnsi="Aparajita" w:cs="Aparajita"/>
          <w:b/>
          <w:i/>
          <w:sz w:val="34"/>
          <w:szCs w:val="34"/>
        </w:rPr>
      </w:pPr>
      <w:r>
        <w:rPr>
          <w:rFonts w:ascii="Aparajita" w:hAnsi="Aparajita" w:cs="Aparajita"/>
          <w:b/>
          <w:i/>
          <w:sz w:val="34"/>
          <w:szCs w:val="34"/>
        </w:rPr>
        <w:t>N</w:t>
      </w:r>
      <w:r w:rsidR="00256A39">
        <w:rPr>
          <w:rFonts w:ascii="Aparajita" w:hAnsi="Aparajita" w:cs="Aparajita"/>
          <w:b/>
          <w:i/>
          <w:sz w:val="34"/>
          <w:szCs w:val="34"/>
        </w:rPr>
        <w:t>°0163</w:t>
      </w:r>
      <w:r w:rsidR="00A651C8">
        <w:rPr>
          <w:rFonts w:ascii="Aparajita" w:hAnsi="Aparajita" w:cs="Aparajita"/>
          <w:b/>
          <w:i/>
          <w:sz w:val="34"/>
          <w:szCs w:val="34"/>
        </w:rPr>
        <w:t>-</w:t>
      </w:r>
      <w:r>
        <w:rPr>
          <w:rFonts w:ascii="Aparajita" w:hAnsi="Aparajita" w:cs="Aparajita"/>
          <w:b/>
          <w:i/>
          <w:sz w:val="34"/>
          <w:szCs w:val="34"/>
        </w:rPr>
        <w:t>202</w:t>
      </w:r>
      <w:r w:rsidR="00FC3011">
        <w:rPr>
          <w:rFonts w:ascii="Aparajita" w:hAnsi="Aparajita" w:cs="Aparajita"/>
          <w:b/>
          <w:i/>
          <w:sz w:val="34"/>
          <w:szCs w:val="34"/>
        </w:rPr>
        <w:t>3</w:t>
      </w:r>
      <w:r>
        <w:rPr>
          <w:rFonts w:ascii="Aparajita" w:hAnsi="Aparajita" w:cs="Aparajita"/>
          <w:b/>
          <w:i/>
          <w:sz w:val="34"/>
          <w:szCs w:val="34"/>
        </w:rPr>
        <w:t>/GOB.REG-HVCA</w:t>
      </w:r>
      <w:r w:rsidR="0091324B">
        <w:rPr>
          <w:rFonts w:ascii="Aparajita" w:hAnsi="Aparajita" w:cs="Aparajita"/>
          <w:b/>
          <w:i/>
          <w:sz w:val="34"/>
          <w:szCs w:val="34"/>
        </w:rPr>
        <w:t>/DIRESA-HPT-D</w:t>
      </w:r>
    </w:p>
    <w:p w:rsidR="00182993" w:rsidRPr="003A2478" w:rsidRDefault="00182993" w:rsidP="00182993">
      <w:pPr>
        <w:pStyle w:val="Encabezado"/>
        <w:tabs>
          <w:tab w:val="clear" w:pos="4252"/>
          <w:tab w:val="clear" w:pos="8504"/>
          <w:tab w:val="left" w:pos="6105"/>
        </w:tabs>
        <w:ind w:left="-142" w:right="-142"/>
        <w:rPr>
          <w:rFonts w:ascii="Century Gothic" w:hAnsi="Century Gothic"/>
          <w:b/>
          <w:i/>
          <w:sz w:val="22"/>
          <w:szCs w:val="18"/>
        </w:rPr>
      </w:pPr>
    </w:p>
    <w:p w:rsidR="00182993" w:rsidRPr="00947346" w:rsidRDefault="00182993" w:rsidP="00182993">
      <w:pPr>
        <w:ind w:left="-142" w:right="-142"/>
        <w:jc w:val="right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Pampas,</w:t>
      </w:r>
      <w:r w:rsidR="00FC3011">
        <w:rPr>
          <w:rFonts w:ascii="Century Gothic" w:hAnsi="Century Gothic" w:cs="Aparajita"/>
          <w:b/>
          <w:i/>
          <w:sz w:val="22"/>
          <w:szCs w:val="22"/>
        </w:rPr>
        <w:t>01</w:t>
      </w:r>
      <w:r w:rsidR="00EC50C4"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986B9A">
        <w:rPr>
          <w:rFonts w:ascii="Century Gothic" w:hAnsi="Century Gothic" w:cs="Aparajita"/>
          <w:b/>
          <w:i/>
          <w:sz w:val="22"/>
          <w:szCs w:val="22"/>
        </w:rPr>
        <w:t>marz</w:t>
      </w:r>
      <w:r w:rsidR="002C729A" w:rsidRPr="00947346">
        <w:rPr>
          <w:rFonts w:ascii="Century Gothic" w:hAnsi="Century Gothic" w:cs="Aparajita"/>
          <w:b/>
          <w:i/>
          <w:sz w:val="22"/>
          <w:szCs w:val="22"/>
        </w:rPr>
        <w:t>o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C729A" w:rsidRPr="00947346">
        <w:rPr>
          <w:rFonts w:ascii="Century Gothic" w:hAnsi="Century Gothic" w:cs="Aparajita"/>
          <w:b/>
          <w:i/>
          <w:sz w:val="22"/>
          <w:szCs w:val="22"/>
        </w:rPr>
        <w:t>de 202</w:t>
      </w:r>
      <w:r w:rsidR="005250BD">
        <w:rPr>
          <w:rFonts w:ascii="Century Gothic" w:hAnsi="Century Gothic" w:cs="Aparajita"/>
          <w:b/>
          <w:i/>
          <w:sz w:val="22"/>
          <w:szCs w:val="22"/>
        </w:rPr>
        <w:t>3</w:t>
      </w:r>
    </w:p>
    <w:p w:rsidR="00182993" w:rsidRPr="00947346" w:rsidRDefault="00182993" w:rsidP="00182993">
      <w:pPr>
        <w:ind w:left="-142" w:right="-142"/>
        <w:jc w:val="center"/>
        <w:rPr>
          <w:rFonts w:ascii="Century Gothic" w:hAnsi="Century Gothic" w:cs="Arial"/>
          <w:b/>
          <w:i/>
          <w:sz w:val="22"/>
          <w:szCs w:val="22"/>
        </w:rPr>
      </w:pPr>
    </w:p>
    <w:p w:rsidR="00182993" w:rsidRPr="00947346" w:rsidRDefault="00182993" w:rsidP="00182993">
      <w:pPr>
        <w:ind w:left="-142" w:right="-142"/>
        <w:rPr>
          <w:rFonts w:ascii="Century Gothic" w:hAnsi="Century Gothic" w:cs="Aparajita"/>
          <w:b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VISTO:</w:t>
      </w:r>
    </w:p>
    <w:p w:rsidR="00182993" w:rsidRPr="003A2478" w:rsidRDefault="00182993" w:rsidP="00182993">
      <w:pPr>
        <w:ind w:left="-142" w:right="-142" w:firstLine="850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2A1510">
        <w:rPr>
          <w:rFonts w:ascii="Century Gothic" w:hAnsi="Century Gothic" w:cs="Aparajita"/>
          <w:i/>
          <w:sz w:val="22"/>
          <w:szCs w:val="22"/>
        </w:rPr>
        <w:t>MEMORÁNDUM N° 00202</w:t>
      </w:r>
      <w:r w:rsidR="005250BD">
        <w:rPr>
          <w:rFonts w:ascii="Century Gothic" w:hAnsi="Century Gothic" w:cs="Aparajita"/>
          <w:i/>
          <w:sz w:val="22"/>
          <w:szCs w:val="22"/>
        </w:rPr>
        <w:t>-2023</w:t>
      </w:r>
      <w:r w:rsidR="00E773A0">
        <w:rPr>
          <w:rFonts w:ascii="Century Gothic" w:hAnsi="Century Gothic" w:cs="Aparajita"/>
          <w:i/>
          <w:sz w:val="22"/>
          <w:szCs w:val="22"/>
        </w:rPr>
        <w:t>/GOB.REG-HVCA/HPT-</w:t>
      </w:r>
      <w:r w:rsidR="00F75B81">
        <w:rPr>
          <w:rFonts w:ascii="Century Gothic" w:hAnsi="Century Gothic" w:cs="Aparajita"/>
          <w:i/>
          <w:sz w:val="22"/>
          <w:szCs w:val="22"/>
        </w:rPr>
        <w:t>D, de</w:t>
      </w:r>
      <w:r w:rsidR="00E773A0">
        <w:rPr>
          <w:rFonts w:ascii="Century Gothic" w:hAnsi="Century Gothic" w:cs="Aparajita"/>
          <w:i/>
          <w:sz w:val="22"/>
          <w:szCs w:val="22"/>
        </w:rPr>
        <w:t xml:space="preserve"> fecha </w:t>
      </w:r>
      <w:r w:rsidR="002A1510">
        <w:rPr>
          <w:rFonts w:ascii="Century Gothic" w:hAnsi="Century Gothic" w:cs="Aparajita"/>
          <w:i/>
          <w:sz w:val="22"/>
          <w:szCs w:val="22"/>
        </w:rPr>
        <w:t>20</w:t>
      </w:r>
      <w:r w:rsidR="00F75B81">
        <w:rPr>
          <w:rFonts w:ascii="Century Gothic" w:hAnsi="Century Gothic" w:cs="Aparajita"/>
          <w:i/>
          <w:sz w:val="22"/>
          <w:szCs w:val="22"/>
        </w:rPr>
        <w:t xml:space="preserve"> de</w:t>
      </w:r>
      <w:r w:rsidR="005250BD">
        <w:rPr>
          <w:rFonts w:ascii="Century Gothic" w:hAnsi="Century Gothic" w:cs="Aparajita"/>
          <w:i/>
          <w:sz w:val="22"/>
          <w:szCs w:val="22"/>
        </w:rPr>
        <w:t xml:space="preserve"> febrero</w:t>
      </w:r>
      <w:r w:rsidR="007F5788">
        <w:rPr>
          <w:rFonts w:ascii="Century Gothic" w:hAnsi="Century Gothic" w:cs="Aparajita"/>
          <w:i/>
          <w:sz w:val="22"/>
          <w:szCs w:val="22"/>
        </w:rPr>
        <w:t xml:space="preserve"> de 20</w:t>
      </w:r>
      <w:r w:rsidR="00F75B81">
        <w:rPr>
          <w:rFonts w:ascii="Century Gothic" w:hAnsi="Century Gothic" w:cs="Aparajita"/>
          <w:i/>
          <w:sz w:val="22"/>
          <w:szCs w:val="22"/>
        </w:rPr>
        <w:t>2</w:t>
      </w:r>
      <w:r w:rsidR="005250BD">
        <w:rPr>
          <w:rFonts w:ascii="Century Gothic" w:hAnsi="Century Gothic" w:cs="Aparajita"/>
          <w:i/>
          <w:sz w:val="22"/>
          <w:szCs w:val="22"/>
        </w:rPr>
        <w:t>3</w:t>
      </w:r>
      <w:r w:rsidR="00FC3011">
        <w:rPr>
          <w:rFonts w:ascii="Century Gothic" w:hAnsi="Century Gothic" w:cs="Aparajita"/>
          <w:i/>
          <w:sz w:val="22"/>
          <w:szCs w:val="22"/>
        </w:rPr>
        <w:t>,</w:t>
      </w:r>
      <w:r w:rsidR="005250BD">
        <w:rPr>
          <w:rFonts w:ascii="Century Gothic" w:hAnsi="Century Gothic" w:cs="Aparajita"/>
          <w:i/>
          <w:sz w:val="22"/>
          <w:szCs w:val="22"/>
        </w:rPr>
        <w:t xml:space="preserve"> por lo que </w:t>
      </w:r>
      <w:r w:rsidR="009732AC">
        <w:rPr>
          <w:rFonts w:ascii="Century Gothic" w:hAnsi="Century Gothic" w:cs="Aparajita"/>
          <w:i/>
          <w:sz w:val="22"/>
          <w:szCs w:val="22"/>
        </w:rPr>
        <w:t xml:space="preserve">la </w:t>
      </w:r>
      <w:r w:rsidR="009732AC" w:rsidRPr="00947346">
        <w:rPr>
          <w:rFonts w:ascii="Century Gothic" w:hAnsi="Century Gothic" w:cs="Aparajita"/>
          <w:i/>
          <w:sz w:val="22"/>
          <w:szCs w:val="22"/>
        </w:rPr>
        <w:t>Directora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</w:t>
      </w:r>
      <w:r w:rsidR="00F77FC2">
        <w:rPr>
          <w:rFonts w:ascii="Century Gothic" w:hAnsi="Century Gothic" w:cs="Aparajita"/>
          <w:i/>
          <w:sz w:val="22"/>
          <w:szCs w:val="22"/>
        </w:rPr>
        <w:t xml:space="preserve">Ejecutivo </w:t>
      </w:r>
      <w:r w:rsidRPr="00947346">
        <w:rPr>
          <w:rFonts w:ascii="Century Gothic" w:hAnsi="Century Gothic" w:cs="Aparajita"/>
          <w:i/>
          <w:sz w:val="22"/>
          <w:szCs w:val="22"/>
        </w:rPr>
        <w:t>del Hospit</w:t>
      </w:r>
      <w:r w:rsidR="00331543" w:rsidRPr="00947346">
        <w:rPr>
          <w:rFonts w:ascii="Century Gothic" w:hAnsi="Century Gothic" w:cs="Aparajita"/>
          <w:i/>
          <w:sz w:val="22"/>
          <w:szCs w:val="22"/>
        </w:rPr>
        <w:t xml:space="preserve">al de Pampas- Tayacaja, </w:t>
      </w:r>
      <w:r w:rsidR="00532561" w:rsidRPr="00947346">
        <w:rPr>
          <w:rFonts w:ascii="Century Gothic" w:hAnsi="Century Gothic" w:cs="Aparajita"/>
          <w:i/>
          <w:sz w:val="22"/>
          <w:szCs w:val="22"/>
        </w:rPr>
        <w:t xml:space="preserve">Ordena Proyectar El Acto Resolutivo </w:t>
      </w:r>
      <w:r w:rsidR="00532561">
        <w:rPr>
          <w:rFonts w:ascii="Century Gothic" w:hAnsi="Century Gothic" w:cs="Aparajita"/>
          <w:i/>
          <w:sz w:val="22"/>
          <w:szCs w:val="22"/>
        </w:rPr>
        <w:t xml:space="preserve">Aprobando </w:t>
      </w:r>
      <w:r w:rsidR="002A1510">
        <w:rPr>
          <w:rFonts w:ascii="Century Gothic" w:hAnsi="Century Gothic" w:cs="Aparajita"/>
          <w:b/>
          <w:i/>
          <w:sz w:val="22"/>
          <w:szCs w:val="22"/>
        </w:rPr>
        <w:t>EL PLAN ANUAL</w:t>
      </w:r>
      <w:r w:rsidR="003006B7" w:rsidRPr="00532561">
        <w:rPr>
          <w:rFonts w:ascii="Century Gothic" w:hAnsi="Century Gothic" w:cs="Aparajita"/>
          <w:b/>
          <w:i/>
          <w:sz w:val="22"/>
          <w:szCs w:val="22"/>
        </w:rPr>
        <w:t xml:space="preserve"> DE</w:t>
      </w:r>
      <w:r w:rsidR="002A1510">
        <w:rPr>
          <w:rFonts w:ascii="Century Gothic" w:hAnsi="Century Gothic" w:cs="Aparajita"/>
          <w:b/>
          <w:i/>
          <w:sz w:val="22"/>
          <w:szCs w:val="22"/>
        </w:rPr>
        <w:t xml:space="preserve"> TRABAJO</w:t>
      </w:r>
      <w:r w:rsidR="003006B7" w:rsidRPr="00532561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A1510">
        <w:rPr>
          <w:rFonts w:ascii="Century Gothic" w:hAnsi="Century Gothic" w:cs="Aparajita"/>
          <w:b/>
          <w:i/>
          <w:sz w:val="22"/>
          <w:szCs w:val="22"/>
        </w:rPr>
        <w:t>DE LAS VISITAS DOMICILIARIAS DE LA ESTRATEGIA</w:t>
      </w:r>
      <w:r w:rsidR="0023722D" w:rsidRPr="00532561">
        <w:rPr>
          <w:rFonts w:ascii="Century Gothic" w:hAnsi="Century Gothic" w:cs="Aparajita"/>
          <w:b/>
          <w:i/>
          <w:sz w:val="22"/>
          <w:szCs w:val="22"/>
        </w:rPr>
        <w:t xml:space="preserve"> DE</w:t>
      </w:r>
      <w:r w:rsidR="002A1510">
        <w:rPr>
          <w:rFonts w:ascii="Century Gothic" w:hAnsi="Century Gothic" w:cs="Aparajita"/>
          <w:b/>
          <w:i/>
          <w:sz w:val="22"/>
          <w:szCs w:val="22"/>
        </w:rPr>
        <w:t xml:space="preserve"> PREVENCION Y CONTROL DE ITS-VIH/SIDA</w:t>
      </w:r>
      <w:r w:rsidR="00FE172B">
        <w:rPr>
          <w:rFonts w:ascii="Century Gothic" w:hAnsi="Century Gothic" w:cs="Aparajita"/>
          <w:b/>
          <w:i/>
          <w:sz w:val="22"/>
          <w:szCs w:val="22"/>
        </w:rPr>
        <w:t>-H</w:t>
      </w:r>
      <w:r w:rsidR="009732AC" w:rsidRPr="00532561">
        <w:rPr>
          <w:rFonts w:ascii="Century Gothic" w:hAnsi="Century Gothic" w:cs="Aparajita"/>
          <w:b/>
          <w:i/>
          <w:sz w:val="22"/>
          <w:szCs w:val="22"/>
        </w:rPr>
        <w:t xml:space="preserve">, </w:t>
      </w:r>
      <w:r w:rsidR="003006B7">
        <w:rPr>
          <w:rFonts w:ascii="Century Gothic" w:hAnsi="Century Gothic" w:cs="Aparajita"/>
          <w:i/>
          <w:sz w:val="22"/>
          <w:szCs w:val="22"/>
        </w:rPr>
        <w:t>DEL HOSPITAL DE PAMPAS DE TAYACAJA;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CONSIDERANDO: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220EC1">
        <w:rPr>
          <w:rFonts w:ascii="Century Gothic" w:eastAsia="Batang" w:hAnsi="Century Gothic" w:cs="Aparajita"/>
          <w:i/>
          <w:sz w:val="22"/>
          <w:szCs w:val="22"/>
        </w:rPr>
        <w:t xml:space="preserve">Que, los Gobiernos Regionales tienen autonomía política, económica y administrativa en asuntos de su competencia, conforme al artículo 2° de la Ley Nº 27867 – Ley Orgánica de Gobiernos Regionales, concordante con el artículo 191° de la Ley N° </w:t>
      </w:r>
      <w:r w:rsidR="00E2455B" w:rsidRPr="00220EC1">
        <w:rPr>
          <w:rFonts w:ascii="Century Gothic" w:eastAsia="Batang" w:hAnsi="Century Gothic" w:cs="Aparajita"/>
          <w:i/>
          <w:sz w:val="22"/>
          <w:szCs w:val="22"/>
        </w:rPr>
        <w:t>27680</w:t>
      </w:r>
      <w:r w:rsidR="00E2455B">
        <w:rPr>
          <w:rFonts w:ascii="Century Gothic" w:eastAsia="Batang" w:hAnsi="Century Gothic" w:cs="Aparajita"/>
          <w:i/>
          <w:sz w:val="22"/>
          <w:szCs w:val="22"/>
        </w:rPr>
        <w:t>;</w:t>
      </w: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182993" w:rsidRDefault="00182993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3A2478">
        <w:rPr>
          <w:rFonts w:ascii="Century Gothic" w:eastAsia="Batang" w:hAnsi="Century Gothic" w:cs="Aparajita"/>
          <w:i/>
          <w:sz w:val="22"/>
          <w:szCs w:val="22"/>
        </w:rPr>
        <w:t>Que, mediante Ley N° 30281 – Ley de Presupuesto del Sector Publico para el año Fiscal 2015, se dispone la creación de la Unid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ad Ejecutora Hospital de Pampas de Tayacaja, </w:t>
      </w:r>
      <w:r w:rsidRPr="003A2478">
        <w:rPr>
          <w:rFonts w:ascii="Century Gothic" w:eastAsia="Batang" w:hAnsi="Century Gothic" w:cs="Aparajita"/>
          <w:i/>
          <w:sz w:val="22"/>
          <w:szCs w:val="22"/>
        </w:rPr>
        <w:t>en el Pliego Gobierno Regional de Huancavelica;</w:t>
      </w:r>
    </w:p>
    <w:p w:rsidR="004B62EB" w:rsidRDefault="004B62EB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4B62EB" w:rsidRDefault="004B62EB" w:rsidP="004B62E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>Que, el numeral 1.2.1 del artículo 1° del Decreto Supremo N° 004-2019-JUS, Texto Único Ordenado de la Ley 27444 – Ley del Procedimiento Administrativo General, dispone que “los actos de administración interna de las entidades destinados a organizar o hacer funcionar sus propias actividades o servicios. Estos actos son regulados por cada entidad, con sujeción a las disposiciones del Título Preliminar de esta Ley, y de aquellas normas que expresamente así lo establezcan”;</w:t>
      </w:r>
    </w:p>
    <w:p w:rsidR="004B62EB" w:rsidRDefault="004B62EB" w:rsidP="004B62EB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4B62EB" w:rsidRDefault="004B62EB" w:rsidP="004B62EB">
      <w:pPr>
        <w:ind w:left="-142" w:right="-142" w:firstLine="708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  <w:r>
        <w:rPr>
          <w:rFonts w:ascii="Century Gothic" w:hAnsi="Century Gothic" w:cs="Arial"/>
          <w:i/>
          <w:color w:val="000000"/>
          <w:sz w:val="22"/>
          <w:szCs w:val="22"/>
        </w:rPr>
        <w:t xml:space="preserve">  </w:t>
      </w:r>
      <w:r w:rsidRPr="00251E81">
        <w:rPr>
          <w:rFonts w:ascii="Century Gothic" w:hAnsi="Century Gothic" w:cs="Arial"/>
          <w:i/>
          <w:color w:val="000000"/>
          <w:sz w:val="22"/>
          <w:szCs w:val="22"/>
        </w:rPr>
        <w:t xml:space="preserve">Que, </w:t>
      </w:r>
      <w:r>
        <w:rPr>
          <w:rFonts w:ascii="Century Gothic" w:hAnsi="Century Gothic" w:cs="Arial"/>
          <w:i/>
          <w:color w:val="000000"/>
          <w:sz w:val="22"/>
          <w:szCs w:val="22"/>
        </w:rPr>
        <w:t>el numeral 72.2 artículo 72° del mismo cuerpo normativo señala “Toda entidad es competente para realizar las tareas materiales internas necesarias para el eficiente cumplimiento de su misión y objetivos, así como para la distribución de las atribuciones que se encuentren comprendidas dentro de su competencia”;</w:t>
      </w:r>
    </w:p>
    <w:p w:rsidR="005B5AC8" w:rsidRDefault="005B5AC8" w:rsidP="00984439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left="-142" w:right="-142" w:firstLine="708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>Que, el artículo 123 de la Ley N° 26942, establece que el Ministerio de Salud es la Autoridad de Salud de nivel nacional, que tiene a su cargo la formulación, dirección y gestión de la política de salud actúa como la máxima autoridad normativa en materia de salud;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     Que, el artículo 4 del Decreto Legislativo N° 1161, Ley de Organizaciones y Funciones del Ministerio de Salud, dispone que el Sector Salud está conformado por el Ministerio de salud, como organismo rector, las entidades adscritas a </w:t>
      </w:r>
      <w:r w:rsidR="00E300FF">
        <w:rPr>
          <w:rFonts w:ascii="Century Gothic" w:eastAsia="Batang" w:hAnsi="Century Gothic" w:cs="Aparajita"/>
          <w:i/>
          <w:sz w:val="22"/>
          <w:szCs w:val="22"/>
        </w:rPr>
        <w:t>él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y aquellas instituciones públicas y privadas de nivel nacional, regional y local, y personas naturales que realizan actividades vinculadas a las competencias establecidas en dicha Ley, y que tienen impacto directo o indirecto en la salud, individual o colectivo;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 w:firstLine="720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8B3138">
        <w:rPr>
          <w:rFonts w:ascii="Century Gothic" w:eastAsia="Batang" w:hAnsi="Century Gothic" w:cs="Aparajita"/>
          <w:i/>
          <w:sz w:val="22"/>
          <w:szCs w:val="22"/>
        </w:rPr>
        <w:t xml:space="preserve">Que, 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en los literales a) y b), del artículo 5 de la precitada Ley, se señala que son funciones rectoras del Ministerio de Salud: formular, planear, dirigir, coordinar, </w:t>
      </w:r>
      <w:r>
        <w:rPr>
          <w:rFonts w:ascii="Century Gothic" w:eastAsia="Batang" w:hAnsi="Century Gothic" w:cs="Aparajita"/>
          <w:i/>
          <w:sz w:val="22"/>
          <w:szCs w:val="22"/>
        </w:rPr>
        <w:lastRenderedPageBreak/>
        <w:t>ejecutar, supervisar y evaluar la política nacional y sectorial de promoción de la salud, prevención de enfermedades, recuperación, rehabilitación en salud y buenas prácticas en salud; y, dictar normas y lineamientos técnicos para la adecuada ejecución y supervisión de las políticas nacionales y sectoriales;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 xml:space="preserve">    </w:t>
      </w: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 Que, el artículo 63 del Reglamento de Organizaciones y Funciones del Ministerio de Salud, aprobado por Decreto Supremo N° 008-2017-SA, y su modificatorias, establece que la Dirección de Intervenciones Estratégicas en Salud Publica, es el órgano de línea del Ministerio de Salud, dependiente del Viceministerio de Salud Pública, competente, entre otros, para dirigir y coordinar las intervenciones estratégicas en salud publica en materia de intervenciones por curso de vida y cuidado integral y promoción de la salud;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 xml:space="preserve">Que, el literal b) del artículo 64 del precitado Reglamento, establece como una de las funciones de la Dirección General de Intervenciones Estratégicas en Salud Publica: proponer, evaluar y supervisar la implementación de políticas, normas, lineamientos y otros documentos normativos materia de intervenciones estratégicas en Salud Publica;   </w:t>
      </w: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Pr="002A1510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</w: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Que, mediante la ley General de Salud –Ley N° 26842, establece en el artículo V del título Preliminar de interés público la provisión de servicios de salud, cualquiera sea la persona o institución que lo provea. Es responsabilidad del Estado promover las condiciones, que garanticen una adecuada cobertura de prestaciones de salud a la población, en términos socialmente aceptables de seguridad, oportunidad y calidad;</w:t>
      </w:r>
    </w:p>
    <w:p w:rsidR="00536382" w:rsidRPr="00EB47C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536382" w:rsidRDefault="00536382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  <w:r w:rsidRPr="00EB47C2">
        <w:rPr>
          <w:rFonts w:ascii="Century Gothic" w:eastAsia="Batang" w:hAnsi="Century Gothic" w:cs="Aparajita"/>
          <w:i/>
          <w:sz w:val="22"/>
          <w:szCs w:val="22"/>
        </w:rPr>
        <w:t xml:space="preserve">         Qu</w:t>
      </w:r>
      <w:r w:rsidR="002A1510">
        <w:rPr>
          <w:rFonts w:ascii="Century Gothic" w:eastAsia="Batang" w:hAnsi="Century Gothic" w:cs="Aparajita"/>
          <w:i/>
          <w:sz w:val="22"/>
          <w:szCs w:val="22"/>
        </w:rPr>
        <w:t>e, en el marco del Sistema de G</w:t>
      </w:r>
      <w:r w:rsidRPr="00EB47C2">
        <w:rPr>
          <w:rFonts w:ascii="Century Gothic" w:eastAsia="Batang" w:hAnsi="Century Gothic" w:cs="Aparajita"/>
          <w:i/>
          <w:sz w:val="22"/>
          <w:szCs w:val="22"/>
        </w:rPr>
        <w:t>estión de la Calidad en Salud, aprobado bajo la resolución Ministerial N° 519-2006/MINSA y Política Nacional de la Calidad en Salud, la prestación de Salud es el resultado de los esfuerzos e intervenciones desplegadas, basadas en garantizar la seguridad y el trato humano para todos y cada uno de los usuarios de los servicios de salud, de esta manera la cultura de seguridad del paciente viene a ser un lineamiento fundamental que determina la calidad de la atención que se brinda al usuario constituyéndose a un asunto de interés general en el área de la salud;</w:t>
      </w:r>
    </w:p>
    <w:p w:rsidR="00CD5A16" w:rsidRDefault="00CD5A16" w:rsidP="00536382">
      <w:pPr>
        <w:ind w:right="-142"/>
        <w:jc w:val="both"/>
        <w:rPr>
          <w:rFonts w:ascii="Century Gothic" w:eastAsia="Batang" w:hAnsi="Century Gothic" w:cs="Aparajita"/>
          <w:i/>
          <w:sz w:val="22"/>
          <w:szCs w:val="22"/>
        </w:rPr>
      </w:pPr>
    </w:p>
    <w:p w:rsidR="004964B5" w:rsidRDefault="00CD5A16" w:rsidP="002A1510">
      <w:p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eastAsia="Batang" w:hAnsi="Century Gothic" w:cs="Aparajita"/>
          <w:i/>
          <w:sz w:val="22"/>
          <w:szCs w:val="22"/>
        </w:rPr>
        <w:tab/>
        <w:t>Que, mediante INFORME N°</w:t>
      </w:r>
      <w:r w:rsidR="00FC3011" w:rsidRPr="00FC3011">
        <w:rPr>
          <w:rFonts w:ascii="Century Gothic" w:hAnsi="Century Gothic" w:cs="Aparajita"/>
          <w:i/>
          <w:sz w:val="22"/>
          <w:szCs w:val="22"/>
        </w:rPr>
        <w:t xml:space="preserve"> </w:t>
      </w:r>
      <w:r w:rsidR="00FC3011">
        <w:rPr>
          <w:rFonts w:ascii="Century Gothic" w:hAnsi="Century Gothic" w:cs="Aparajita"/>
          <w:i/>
          <w:sz w:val="22"/>
          <w:szCs w:val="22"/>
        </w:rPr>
        <w:t>del Informe N° 00</w:t>
      </w:r>
      <w:r w:rsidR="002A1510">
        <w:rPr>
          <w:rFonts w:ascii="Century Gothic" w:hAnsi="Century Gothic" w:cs="Aparajita"/>
          <w:i/>
          <w:sz w:val="22"/>
          <w:szCs w:val="22"/>
        </w:rPr>
        <w:t>8</w:t>
      </w:r>
      <w:r w:rsidR="00FC3011">
        <w:rPr>
          <w:rFonts w:ascii="Century Gothic" w:hAnsi="Century Gothic" w:cs="Aparajita"/>
          <w:i/>
          <w:sz w:val="22"/>
          <w:szCs w:val="22"/>
        </w:rPr>
        <w:t>-2023/GOB.REG-</w:t>
      </w:r>
      <w:r w:rsidR="002A1510">
        <w:rPr>
          <w:rFonts w:ascii="Century Gothic" w:hAnsi="Century Gothic" w:cs="Aparajita"/>
          <w:i/>
          <w:sz w:val="22"/>
          <w:szCs w:val="22"/>
        </w:rPr>
        <w:t>HVCA/DIRESA-HPT-SG-O/JO/JHP</w:t>
      </w:r>
      <w:r w:rsidR="002A1510">
        <w:rPr>
          <w:rFonts w:ascii="Century Gothic" w:eastAsia="Batang" w:hAnsi="Century Gothic" w:cs="Aparajita"/>
          <w:i/>
          <w:sz w:val="22"/>
          <w:szCs w:val="22"/>
        </w:rPr>
        <w:t>, de fecha 16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 xml:space="preserve"> de febrero </w:t>
      </w:r>
      <w:r>
        <w:rPr>
          <w:rFonts w:ascii="Century Gothic" w:eastAsia="Batang" w:hAnsi="Century Gothic" w:cs="Aparajita"/>
          <w:i/>
          <w:sz w:val="22"/>
          <w:szCs w:val="22"/>
        </w:rPr>
        <w:t>de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l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 202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>3</w:t>
      </w:r>
      <w:r>
        <w:rPr>
          <w:rFonts w:ascii="Century Gothic" w:eastAsia="Batang" w:hAnsi="Century Gothic" w:cs="Aparajita"/>
          <w:i/>
          <w:sz w:val="22"/>
          <w:szCs w:val="22"/>
        </w:rPr>
        <w:t xml:space="preserve">, </w:t>
      </w:r>
      <w:r w:rsidR="00FC3011">
        <w:rPr>
          <w:rFonts w:ascii="Century Gothic" w:eastAsia="Batang" w:hAnsi="Century Gothic" w:cs="Aparajita"/>
          <w:i/>
          <w:sz w:val="22"/>
          <w:szCs w:val="22"/>
        </w:rPr>
        <w:t xml:space="preserve">La Jefatura De Obstetricia Remite </w:t>
      </w:r>
      <w:r w:rsidR="002A1510">
        <w:rPr>
          <w:rFonts w:ascii="Century Gothic" w:hAnsi="Century Gothic" w:cs="Aparajita"/>
          <w:b/>
          <w:i/>
          <w:sz w:val="22"/>
          <w:szCs w:val="22"/>
        </w:rPr>
        <w:t>El Plan Anual</w:t>
      </w:r>
      <w:r w:rsidR="002A1510" w:rsidRPr="00532561">
        <w:rPr>
          <w:rFonts w:ascii="Century Gothic" w:hAnsi="Century Gothic" w:cs="Aparajita"/>
          <w:b/>
          <w:i/>
          <w:sz w:val="22"/>
          <w:szCs w:val="22"/>
        </w:rPr>
        <w:t xml:space="preserve"> De</w:t>
      </w:r>
      <w:r w:rsidR="002A1510">
        <w:rPr>
          <w:rFonts w:ascii="Century Gothic" w:hAnsi="Century Gothic" w:cs="Aparajita"/>
          <w:b/>
          <w:i/>
          <w:sz w:val="22"/>
          <w:szCs w:val="22"/>
        </w:rPr>
        <w:t xml:space="preserve"> Trabajo</w:t>
      </w:r>
      <w:r w:rsidR="002A1510" w:rsidRPr="00532561">
        <w:rPr>
          <w:rFonts w:ascii="Century Gothic" w:hAnsi="Century Gothic" w:cs="Aparajita"/>
          <w:b/>
          <w:i/>
          <w:sz w:val="22"/>
          <w:szCs w:val="22"/>
        </w:rPr>
        <w:t xml:space="preserve"> </w:t>
      </w:r>
      <w:r w:rsidR="002A1510">
        <w:rPr>
          <w:rFonts w:ascii="Century Gothic" w:hAnsi="Century Gothic" w:cs="Aparajita"/>
          <w:b/>
          <w:i/>
          <w:sz w:val="22"/>
          <w:szCs w:val="22"/>
        </w:rPr>
        <w:t>De Las Visitas Domiciliarias De La Estrategia</w:t>
      </w:r>
      <w:r w:rsidR="002A1510" w:rsidRPr="00532561">
        <w:rPr>
          <w:rFonts w:ascii="Century Gothic" w:hAnsi="Century Gothic" w:cs="Aparajita"/>
          <w:b/>
          <w:i/>
          <w:sz w:val="22"/>
          <w:szCs w:val="22"/>
        </w:rPr>
        <w:t xml:space="preserve"> De</w:t>
      </w:r>
      <w:r w:rsidR="002A1510">
        <w:rPr>
          <w:rFonts w:ascii="Century Gothic" w:hAnsi="Century Gothic" w:cs="Aparajita"/>
          <w:b/>
          <w:i/>
          <w:sz w:val="22"/>
          <w:szCs w:val="22"/>
        </w:rPr>
        <w:t xml:space="preserve"> Prevención Y Control De ITS-VIH/SIDA. </w:t>
      </w:r>
      <w:r w:rsidR="002A1510" w:rsidRPr="002A1510">
        <w:rPr>
          <w:rFonts w:ascii="Century Gothic" w:hAnsi="Century Gothic" w:cs="Aparajita"/>
          <w:i/>
          <w:sz w:val="22"/>
          <w:szCs w:val="22"/>
        </w:rPr>
        <w:t xml:space="preserve">Del </w:t>
      </w:r>
      <w:r w:rsidR="002A1510">
        <w:rPr>
          <w:rFonts w:ascii="Century Gothic" w:hAnsi="Century Gothic" w:cs="Aparajita"/>
          <w:i/>
          <w:sz w:val="22"/>
          <w:szCs w:val="22"/>
        </w:rPr>
        <w:t>Hospital de P</w:t>
      </w:r>
      <w:r w:rsidR="002A1510" w:rsidRPr="002A1510">
        <w:rPr>
          <w:rFonts w:ascii="Century Gothic" w:hAnsi="Century Gothic" w:cs="Aparajita"/>
          <w:i/>
          <w:sz w:val="22"/>
          <w:szCs w:val="22"/>
        </w:rPr>
        <w:t>ampas de Tayacaja</w:t>
      </w:r>
      <w:r w:rsidR="002A1510">
        <w:rPr>
          <w:rFonts w:ascii="Century Gothic" w:hAnsi="Century Gothic" w:cs="Aparajita"/>
          <w:b/>
          <w:i/>
          <w:sz w:val="22"/>
          <w:szCs w:val="22"/>
        </w:rPr>
        <w:t xml:space="preserve">. </w:t>
      </w:r>
    </w:p>
    <w:p w:rsidR="002A1510" w:rsidRPr="00FC3011" w:rsidRDefault="002A1510" w:rsidP="002A1510">
      <w:pPr>
        <w:ind w:right="-142"/>
        <w:jc w:val="both"/>
        <w:rPr>
          <w:rFonts w:ascii="Century Gothic" w:hAnsi="Century Gothic" w:cs="Arial"/>
          <w:i/>
          <w:color w:val="000000"/>
          <w:sz w:val="22"/>
          <w:szCs w:val="22"/>
        </w:rPr>
      </w:pPr>
    </w:p>
    <w:p w:rsidR="00FC3011" w:rsidRPr="007F29FE" w:rsidRDefault="00FC3011" w:rsidP="00FC3011">
      <w:pPr>
        <w:ind w:left="-142" w:right="-142" w:firstLine="708"/>
        <w:jc w:val="both"/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</w:pP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Que, mediante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Resolución Gerencial General Regional N° 021-2023/GOB.REG-HVCA/GGR, </w:t>
      </w:r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se designó a partir del 06 de enero del 2023, a la </w:t>
      </w:r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 xml:space="preserve">CD.  AYALA DIAZ, Lourdes </w:t>
      </w:r>
      <w:proofErr w:type="spellStart"/>
      <w:r w:rsidRPr="007F29FE">
        <w:rPr>
          <w:rFonts w:ascii="Century Gothic" w:eastAsia="Batang" w:hAnsi="Century Gothic" w:cs="Aparajita"/>
          <w:b/>
          <w:bCs/>
          <w:i/>
          <w:iCs/>
          <w:color w:val="000000" w:themeColor="text1"/>
          <w:sz w:val="22"/>
          <w:szCs w:val="22"/>
        </w:rPr>
        <w:t>Analia</w:t>
      </w:r>
      <w:proofErr w:type="spellEnd"/>
      <w:r w:rsidRPr="007F29FE">
        <w:rPr>
          <w:rFonts w:ascii="Century Gothic" w:eastAsia="Batang" w:hAnsi="Century Gothic" w:cs="Aparajita"/>
          <w:i/>
          <w:iCs/>
          <w:color w:val="000000" w:themeColor="text1"/>
          <w:sz w:val="22"/>
          <w:szCs w:val="22"/>
        </w:rPr>
        <w:t xml:space="preserve"> en el cargo de confianza de Directora Ejecutiva de la Dirección Ejecutiva del Hospital de Pampas de Tayacaja, en uso de las atribuciones conferidas conforme a lo establecido en el Reglamento de Organizaciones y Funciones (ROF) del Hospital de Pampas de Tayacaja;</w:t>
      </w:r>
    </w:p>
    <w:p w:rsidR="006C711F" w:rsidRDefault="006C711F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FC3011" w:rsidRDefault="00FC3011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000000" w:themeColor="text1"/>
          <w:sz w:val="22"/>
          <w:szCs w:val="22"/>
        </w:rPr>
      </w:pPr>
    </w:p>
    <w:p w:rsidR="006C711F" w:rsidRDefault="006C711F" w:rsidP="00182993">
      <w:pPr>
        <w:ind w:left="-142" w:right="-142" w:firstLine="708"/>
        <w:jc w:val="both"/>
        <w:rPr>
          <w:rFonts w:ascii="Century Gothic" w:eastAsia="Batang" w:hAnsi="Century Gothic" w:cs="Aparajita"/>
          <w:i/>
          <w:color w:val="FF0000"/>
          <w:sz w:val="22"/>
          <w:szCs w:val="22"/>
        </w:rPr>
      </w:pPr>
    </w:p>
    <w:p w:rsidR="00182993" w:rsidRPr="003A2478" w:rsidRDefault="00182993" w:rsidP="00182993">
      <w:pPr>
        <w:ind w:left="-142" w:right="-142" w:firstLine="708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 w:rsidRPr="003A2478">
        <w:rPr>
          <w:rFonts w:ascii="Century Gothic" w:hAnsi="Century Gothic" w:cs="Aparajita"/>
          <w:b/>
          <w:i/>
          <w:sz w:val="22"/>
          <w:szCs w:val="22"/>
        </w:rPr>
        <w:t>SE RESUELVE: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18299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>ARTÍCULO 1º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 xml:space="preserve">.- </w:t>
      </w:r>
      <w:r w:rsidR="003D6AD1">
        <w:rPr>
          <w:rFonts w:ascii="Century Gothic" w:hAnsi="Century Gothic" w:cs="Aparajita"/>
          <w:b/>
          <w:i/>
          <w:sz w:val="22"/>
          <w:szCs w:val="22"/>
        </w:rPr>
        <w:t>APROBAR</w:t>
      </w:r>
      <w:r w:rsidR="00FB3821" w:rsidRPr="00947346">
        <w:rPr>
          <w:rFonts w:ascii="Century Gothic" w:hAnsi="Century Gothic" w:cs="Aparajita"/>
          <w:i/>
          <w:sz w:val="22"/>
          <w:szCs w:val="22"/>
        </w:rPr>
        <w:t xml:space="preserve">, </w:t>
      </w:r>
      <w:r w:rsidR="003D6AD1">
        <w:rPr>
          <w:rFonts w:ascii="Century Gothic" w:hAnsi="Century Gothic" w:cs="Aparajita"/>
          <w:i/>
          <w:sz w:val="22"/>
          <w:szCs w:val="22"/>
        </w:rPr>
        <w:t xml:space="preserve">el </w:t>
      </w:r>
      <w:r w:rsidR="00B405A2">
        <w:rPr>
          <w:rFonts w:ascii="Century Gothic" w:hAnsi="Century Gothic" w:cs="Aparajita"/>
          <w:b/>
          <w:i/>
          <w:sz w:val="22"/>
          <w:szCs w:val="22"/>
        </w:rPr>
        <w:t xml:space="preserve">“PLAN </w:t>
      </w:r>
      <w:r w:rsidR="003E2E90">
        <w:rPr>
          <w:rFonts w:ascii="Century Gothic" w:hAnsi="Century Gothic" w:cs="Aparajita"/>
          <w:b/>
          <w:i/>
          <w:sz w:val="22"/>
          <w:szCs w:val="22"/>
        </w:rPr>
        <w:t xml:space="preserve">DE </w:t>
      </w:r>
      <w:r w:rsidR="00536382">
        <w:rPr>
          <w:rFonts w:ascii="Century Gothic" w:hAnsi="Century Gothic" w:cs="Aparajita"/>
          <w:b/>
          <w:i/>
          <w:sz w:val="22"/>
          <w:szCs w:val="22"/>
        </w:rPr>
        <w:t xml:space="preserve">TRABAJO </w:t>
      </w:r>
      <w:r w:rsidR="00CD5A16">
        <w:rPr>
          <w:rFonts w:ascii="Century Gothic" w:hAnsi="Century Gothic" w:cs="Aparajita"/>
          <w:b/>
          <w:i/>
          <w:sz w:val="22"/>
          <w:szCs w:val="22"/>
        </w:rPr>
        <w:t xml:space="preserve">DE VISITAS DOMICILIARIAS” </w:t>
      </w:r>
      <w:r w:rsidR="00CD5A16">
        <w:rPr>
          <w:rFonts w:ascii="Century Gothic" w:hAnsi="Century Gothic" w:cs="Aparajita"/>
          <w:i/>
          <w:sz w:val="22"/>
          <w:szCs w:val="22"/>
        </w:rPr>
        <w:t>de las siguientes estrategias</w:t>
      </w:r>
      <w:r w:rsidR="000C05AE">
        <w:rPr>
          <w:rFonts w:ascii="Century Gothic" w:hAnsi="Century Gothic" w:cs="Aparajita"/>
          <w:i/>
          <w:sz w:val="22"/>
          <w:szCs w:val="22"/>
        </w:rPr>
        <w:t>; las cuales forman parte integral de la presente:</w:t>
      </w:r>
    </w:p>
    <w:p w:rsidR="00FE172B" w:rsidRDefault="00FE172B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CD5A16" w:rsidRPr="00CD5A16" w:rsidRDefault="002A1510" w:rsidP="00CD5A16">
      <w:pPr>
        <w:pStyle w:val="Prrafodelista"/>
        <w:numPr>
          <w:ilvl w:val="0"/>
          <w:numId w:val="1"/>
        </w:numPr>
        <w:ind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>ITS-VIH/SIDA-H</w:t>
      </w:r>
    </w:p>
    <w:p w:rsidR="00CD5A16" w:rsidRPr="00CD5A16" w:rsidRDefault="00CD5A16" w:rsidP="00FE172B">
      <w:pPr>
        <w:pStyle w:val="Prrafodelista"/>
        <w:ind w:left="218" w:right="-142"/>
        <w:jc w:val="both"/>
        <w:rPr>
          <w:rFonts w:ascii="Century Gothic" w:hAnsi="Century Gothic" w:cs="Aparajita"/>
          <w:b/>
          <w:i/>
          <w:sz w:val="22"/>
          <w:szCs w:val="22"/>
        </w:rPr>
      </w:pPr>
    </w:p>
    <w:p w:rsidR="00CF0743" w:rsidRDefault="00CF074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CF0743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376774">
        <w:rPr>
          <w:rFonts w:ascii="Century Gothic" w:hAnsi="Century Gothic" w:cs="Aparajita"/>
          <w:b/>
          <w:i/>
          <w:sz w:val="22"/>
          <w:szCs w:val="22"/>
        </w:rPr>
        <w:t>ART</w:t>
      </w:r>
      <w:r w:rsidR="00C974FB">
        <w:rPr>
          <w:rFonts w:ascii="Century Gothic" w:hAnsi="Century Gothic" w:cs="Aparajita"/>
          <w:b/>
          <w:i/>
          <w:sz w:val="22"/>
          <w:szCs w:val="22"/>
        </w:rPr>
        <w:t>ÍCULO 2</w:t>
      </w:r>
      <w:r w:rsidRPr="00376774">
        <w:rPr>
          <w:rFonts w:ascii="Century Gothic" w:hAnsi="Century Gothic" w:cs="Aparajita"/>
          <w:b/>
          <w:i/>
          <w:sz w:val="22"/>
          <w:szCs w:val="22"/>
        </w:rPr>
        <w:t xml:space="preserve">º.- </w:t>
      </w:r>
      <w:r w:rsidR="004B4C39">
        <w:rPr>
          <w:rFonts w:ascii="Century Gothic" w:hAnsi="Century Gothic" w:cs="Aparajita"/>
          <w:b/>
          <w:i/>
          <w:sz w:val="22"/>
          <w:szCs w:val="22"/>
        </w:rPr>
        <w:t>ENCARGAR,</w:t>
      </w:r>
      <w:r w:rsidR="004B4C39">
        <w:rPr>
          <w:rFonts w:ascii="Century Gothic" w:hAnsi="Century Gothic" w:cs="Aparajita"/>
          <w:i/>
          <w:sz w:val="22"/>
          <w:szCs w:val="22"/>
        </w:rPr>
        <w:t xml:space="preserve"> a la oficina de administración, el seguimiento, monitoreo y disponer de las acciones administrativas correspondientes para el cumplimiento del presente</w:t>
      </w:r>
      <w:r>
        <w:rPr>
          <w:rFonts w:ascii="Century Gothic" w:hAnsi="Century Gothic" w:cs="Aparajita"/>
          <w:i/>
          <w:sz w:val="22"/>
          <w:szCs w:val="22"/>
        </w:rPr>
        <w:t>.</w:t>
      </w:r>
    </w:p>
    <w:p w:rsidR="00182993" w:rsidRPr="00376774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ARTÍCULO </w:t>
      </w:r>
      <w:r w:rsidR="00C974FB" w:rsidRPr="00947346">
        <w:rPr>
          <w:rFonts w:ascii="Century Gothic" w:hAnsi="Century Gothic" w:cs="Aparajita"/>
          <w:b/>
          <w:i/>
          <w:sz w:val="22"/>
          <w:szCs w:val="22"/>
        </w:rPr>
        <w:t>3</w:t>
      </w:r>
      <w:r w:rsidRPr="00947346">
        <w:rPr>
          <w:rFonts w:ascii="Century Gothic" w:hAnsi="Century Gothic" w:cs="Aparajita"/>
          <w:b/>
          <w:i/>
          <w:sz w:val="22"/>
          <w:szCs w:val="22"/>
        </w:rPr>
        <w:t xml:space="preserve">°. - </w:t>
      </w:r>
      <w:r w:rsidR="004B4C39" w:rsidRPr="00947346">
        <w:rPr>
          <w:rFonts w:ascii="Century Gothic" w:hAnsi="Century Gothic" w:cs="Aparajita"/>
          <w:b/>
          <w:i/>
          <w:sz w:val="22"/>
          <w:szCs w:val="22"/>
        </w:rPr>
        <w:t>NOTIFIQUESE</w:t>
      </w:r>
      <w:r w:rsidR="004B4C39" w:rsidRPr="00947346">
        <w:rPr>
          <w:rFonts w:ascii="Century Gothic" w:hAnsi="Century Gothic" w:cs="Aparajita"/>
          <w:i/>
          <w:sz w:val="22"/>
          <w:szCs w:val="22"/>
        </w:rPr>
        <w:t xml:space="preserve"> el presente acto administrativo a los interesados y órganos competentes del</w:t>
      </w:r>
      <w:r w:rsidRPr="00947346">
        <w:rPr>
          <w:rFonts w:ascii="Century Gothic" w:hAnsi="Century Gothic" w:cs="Aparajita"/>
          <w:i/>
          <w:sz w:val="22"/>
          <w:szCs w:val="22"/>
        </w:rPr>
        <w:t xml:space="preserve"> Hospital de Pampas de Tayacaja como al interesado, para los fines de ley.</w:t>
      </w:r>
    </w:p>
    <w:p w:rsidR="00182993" w:rsidRPr="003A2478" w:rsidRDefault="00182993" w:rsidP="00182993">
      <w:pPr>
        <w:ind w:left="-142" w:right="-142"/>
        <w:jc w:val="both"/>
        <w:rPr>
          <w:rFonts w:ascii="Century Gothic" w:hAnsi="Century Gothic" w:cs="Aparajita"/>
          <w:i/>
          <w:sz w:val="22"/>
          <w:szCs w:val="22"/>
        </w:rPr>
      </w:pPr>
    </w:p>
    <w:p w:rsidR="00A651C8" w:rsidRPr="00A651C8" w:rsidRDefault="00182993" w:rsidP="00A651C8">
      <w:pPr>
        <w:ind w:left="-142" w:right="-142"/>
        <w:jc w:val="center"/>
        <w:rPr>
          <w:rFonts w:ascii="Century Gothic" w:hAnsi="Century Gothic" w:cs="Aparajita"/>
          <w:b/>
          <w:i/>
          <w:sz w:val="22"/>
          <w:szCs w:val="22"/>
        </w:rPr>
      </w:pPr>
      <w:r>
        <w:rPr>
          <w:rFonts w:ascii="Century Gothic" w:hAnsi="Century Gothic" w:cs="Aparajita"/>
          <w:b/>
          <w:i/>
          <w:sz w:val="22"/>
          <w:szCs w:val="22"/>
        </w:rPr>
        <w:t xml:space="preserve">REGISTRESE, COMUNIQUESE, </w:t>
      </w:r>
      <w:r w:rsidRPr="003A2478">
        <w:rPr>
          <w:rFonts w:ascii="Century Gothic" w:hAnsi="Century Gothic" w:cs="Aparajita"/>
          <w:b/>
          <w:i/>
          <w:sz w:val="22"/>
          <w:szCs w:val="22"/>
        </w:rPr>
        <w:t>PUBLÍQUESE</w:t>
      </w:r>
      <w:r w:rsidR="00A651C8">
        <w:rPr>
          <w:rFonts w:ascii="Century Gothic" w:hAnsi="Century Gothic" w:cs="Aparajita"/>
          <w:b/>
          <w:i/>
          <w:sz w:val="22"/>
          <w:szCs w:val="22"/>
        </w:rPr>
        <w:t xml:space="preserve"> Y CÚMPLA</w:t>
      </w: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CF0743" w:rsidRDefault="00CF0743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6C711F" w:rsidRDefault="006C711F" w:rsidP="00A651C8">
      <w:pPr>
        <w:rPr>
          <w:sz w:val="14"/>
        </w:rPr>
      </w:pPr>
    </w:p>
    <w:p w:rsidR="00A56316" w:rsidRDefault="00A56316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Default="00A651C8" w:rsidP="00A651C8">
      <w:pPr>
        <w:rPr>
          <w:sz w:val="14"/>
        </w:rPr>
      </w:pPr>
    </w:p>
    <w:p w:rsidR="00A651C8" w:rsidRPr="00591477" w:rsidRDefault="00A651C8" w:rsidP="00A651C8">
      <w:pPr>
        <w:rPr>
          <w:sz w:val="16"/>
        </w:rPr>
      </w:pPr>
    </w:p>
    <w:p w:rsidR="00A651C8" w:rsidRPr="00591477" w:rsidRDefault="00DA211A" w:rsidP="00A651C8">
      <w:pPr>
        <w:rPr>
          <w:sz w:val="18"/>
        </w:rPr>
      </w:pPr>
      <w:r w:rsidRPr="00591477">
        <w:rPr>
          <w:sz w:val="18"/>
        </w:rPr>
        <w:t xml:space="preserve">Reg. Documento:  </w:t>
      </w:r>
      <w:r w:rsidR="00256A39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02584251</w:t>
      </w:r>
    </w:p>
    <w:p w:rsidR="00182993" w:rsidRPr="00591477" w:rsidRDefault="00DA211A" w:rsidP="00591477">
      <w:pPr>
        <w:rPr>
          <w:sz w:val="32"/>
        </w:rPr>
      </w:pPr>
      <w:r w:rsidRPr="00591477">
        <w:rPr>
          <w:sz w:val="18"/>
        </w:rPr>
        <w:t>Reg. Expediente:</w:t>
      </w:r>
      <w:r w:rsidR="003F1BBD" w:rsidRPr="00591477">
        <w:rPr>
          <w:sz w:val="32"/>
        </w:rPr>
        <w:t xml:space="preserve"> </w:t>
      </w:r>
      <w:r w:rsidR="00256A39"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  <w:t>01907309</w:t>
      </w:r>
      <w:bookmarkStart w:id="0" w:name="_GoBack"/>
      <w:bookmarkEnd w:id="0"/>
    </w:p>
    <w:sectPr w:rsidR="00182993" w:rsidRPr="00591477" w:rsidSect="002A0A06">
      <w:headerReference w:type="default" r:id="rId7"/>
      <w:footerReference w:type="default" r:id="rId8"/>
      <w:pgSz w:w="11906" w:h="16838"/>
      <w:pgMar w:top="1127" w:right="1416" w:bottom="1135" w:left="1701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09E" w:rsidRDefault="0062509E">
      <w:r>
        <w:separator/>
      </w:r>
    </w:p>
  </w:endnote>
  <w:endnote w:type="continuationSeparator" w:id="0">
    <w:p w:rsidR="0062509E" w:rsidRDefault="0062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altName w:val="Arial"/>
    <w:charset w:val="00"/>
    <w:family w:val="swiss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1C8" w:rsidRDefault="00A651C8" w:rsidP="00A651C8">
    <w:pPr>
      <w:pStyle w:val="Piedepgina"/>
    </w:pPr>
  </w:p>
  <w:p w:rsidR="00A651C8" w:rsidRPr="00A651C8" w:rsidRDefault="00A651C8" w:rsidP="00A651C8">
    <w:pPr>
      <w:pStyle w:val="Piedepgina"/>
      <w:rPr>
        <w:b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09E" w:rsidRDefault="0062509E">
      <w:r>
        <w:separator/>
      </w:r>
    </w:p>
  </w:footnote>
  <w:footnote w:type="continuationSeparator" w:id="0">
    <w:p w:rsidR="0062509E" w:rsidRDefault="00625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A39" w:rsidRPr="00306F09" w:rsidRDefault="00256A39" w:rsidP="00256A39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 wp14:anchorId="59177533" wp14:editId="73F8105F">
          <wp:simplePos x="0" y="0"/>
          <wp:positionH relativeFrom="margin">
            <wp:posOffset>4423410</wp:posOffset>
          </wp:positionH>
          <wp:positionV relativeFrom="paragraph">
            <wp:posOffset>-71755</wp:posOffset>
          </wp:positionV>
          <wp:extent cx="1170305" cy="379730"/>
          <wp:effectExtent l="0" t="0" r="0" b="127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6F09"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0E990D77" wp14:editId="20A658F0">
          <wp:simplePos x="0" y="0"/>
          <wp:positionH relativeFrom="margin">
            <wp:posOffset>-158750</wp:posOffset>
          </wp:positionH>
          <wp:positionV relativeFrom="paragraph">
            <wp:posOffset>-55880</wp:posOffset>
          </wp:positionV>
          <wp:extent cx="1294130" cy="398780"/>
          <wp:effectExtent l="0" t="0" r="1270" b="1270"/>
          <wp:wrapSquare wrapText="bothSides"/>
          <wp:docPr id="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130" cy="398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06F09">
      <w:rPr>
        <w:i/>
      </w:rPr>
      <w:t>GOBIERNO REGIONAL DE HUANCAVELICA</w:t>
    </w:r>
  </w:p>
  <w:p w:rsidR="00256A39" w:rsidRPr="00306F09" w:rsidRDefault="00256A39" w:rsidP="00256A39">
    <w:pPr>
      <w:pStyle w:val="Encabezado"/>
      <w:tabs>
        <w:tab w:val="clear" w:pos="4252"/>
        <w:tab w:val="clear" w:pos="8504"/>
        <w:tab w:val="left" w:pos="6105"/>
      </w:tabs>
      <w:jc w:val="center"/>
      <w:rPr>
        <w:i/>
      </w:rPr>
    </w:pPr>
    <w:r w:rsidRPr="00306F09">
      <w:rPr>
        <w:i/>
      </w:rPr>
      <w:t>HOSPITAL DE PAMPAS DE TAYACAJA</w:t>
    </w:r>
  </w:p>
  <w:p w:rsidR="00256A39" w:rsidRDefault="00256A39">
    <w:pPr>
      <w:pStyle w:val="Encabezado"/>
    </w:pPr>
  </w:p>
  <w:p w:rsidR="00590881" w:rsidRDefault="0062509E" w:rsidP="00223F7D">
    <w:pPr>
      <w:pStyle w:val="Encabezado"/>
      <w:tabs>
        <w:tab w:val="clear" w:pos="4252"/>
        <w:tab w:val="clear" w:pos="8504"/>
        <w:tab w:val="left" w:pos="6105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E3D4C"/>
    <w:multiLevelType w:val="hybridMultilevel"/>
    <w:tmpl w:val="7CDA3268"/>
    <w:lvl w:ilvl="0" w:tplc="CCF0B1C6">
      <w:numFmt w:val="bullet"/>
      <w:lvlText w:val="-"/>
      <w:lvlJc w:val="left"/>
      <w:pPr>
        <w:ind w:left="218" w:hanging="360"/>
      </w:pPr>
      <w:rPr>
        <w:rFonts w:ascii="Century Gothic" w:eastAsia="Times New Roman" w:hAnsi="Century Gothic" w:cs="Aparajita" w:hint="default"/>
        <w:b/>
      </w:rPr>
    </w:lvl>
    <w:lvl w:ilvl="1" w:tplc="0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93"/>
    <w:rsid w:val="00024D8E"/>
    <w:rsid w:val="00030D9D"/>
    <w:rsid w:val="000471CE"/>
    <w:rsid w:val="00067754"/>
    <w:rsid w:val="00080AFC"/>
    <w:rsid w:val="00093DF5"/>
    <w:rsid w:val="000A0E09"/>
    <w:rsid w:val="000C05AE"/>
    <w:rsid w:val="000D6A7E"/>
    <w:rsid w:val="000F7F37"/>
    <w:rsid w:val="00107ACB"/>
    <w:rsid w:val="00133271"/>
    <w:rsid w:val="0014460C"/>
    <w:rsid w:val="00144E39"/>
    <w:rsid w:val="0014563F"/>
    <w:rsid w:val="00156314"/>
    <w:rsid w:val="00163CFC"/>
    <w:rsid w:val="00180114"/>
    <w:rsid w:val="00182993"/>
    <w:rsid w:val="001846BE"/>
    <w:rsid w:val="00185F08"/>
    <w:rsid w:val="001A1CB5"/>
    <w:rsid w:val="001A2626"/>
    <w:rsid w:val="001A54E6"/>
    <w:rsid w:val="001C49C8"/>
    <w:rsid w:val="001C7741"/>
    <w:rsid w:val="001E7C5F"/>
    <w:rsid w:val="001F3840"/>
    <w:rsid w:val="002131D9"/>
    <w:rsid w:val="0023722D"/>
    <w:rsid w:val="002451A1"/>
    <w:rsid w:val="00245C97"/>
    <w:rsid w:val="00256A39"/>
    <w:rsid w:val="00285628"/>
    <w:rsid w:val="00290B95"/>
    <w:rsid w:val="00291D6F"/>
    <w:rsid w:val="002A1510"/>
    <w:rsid w:val="002B2492"/>
    <w:rsid w:val="002B5B1F"/>
    <w:rsid w:val="002C729A"/>
    <w:rsid w:val="002E288D"/>
    <w:rsid w:val="002F352C"/>
    <w:rsid w:val="003006B7"/>
    <w:rsid w:val="00306BFF"/>
    <w:rsid w:val="00331543"/>
    <w:rsid w:val="003441D2"/>
    <w:rsid w:val="00360454"/>
    <w:rsid w:val="003822FC"/>
    <w:rsid w:val="003D6AD1"/>
    <w:rsid w:val="003E2E90"/>
    <w:rsid w:val="003F0F45"/>
    <w:rsid w:val="003F1BBD"/>
    <w:rsid w:val="0042161F"/>
    <w:rsid w:val="00434E31"/>
    <w:rsid w:val="004467F2"/>
    <w:rsid w:val="00454A12"/>
    <w:rsid w:val="0049427E"/>
    <w:rsid w:val="00495B16"/>
    <w:rsid w:val="004964B5"/>
    <w:rsid w:val="004A0CA4"/>
    <w:rsid w:val="004B3875"/>
    <w:rsid w:val="004B4C39"/>
    <w:rsid w:val="004B62EB"/>
    <w:rsid w:val="004F10AC"/>
    <w:rsid w:val="0050686D"/>
    <w:rsid w:val="00512203"/>
    <w:rsid w:val="00513EBF"/>
    <w:rsid w:val="005245DF"/>
    <w:rsid w:val="005250BD"/>
    <w:rsid w:val="00532561"/>
    <w:rsid w:val="00532B63"/>
    <w:rsid w:val="00536382"/>
    <w:rsid w:val="00561459"/>
    <w:rsid w:val="00575B89"/>
    <w:rsid w:val="00591477"/>
    <w:rsid w:val="005A59D8"/>
    <w:rsid w:val="005B4CC9"/>
    <w:rsid w:val="005B5AC8"/>
    <w:rsid w:val="005C0A6E"/>
    <w:rsid w:val="005D41E5"/>
    <w:rsid w:val="005E45EB"/>
    <w:rsid w:val="00600408"/>
    <w:rsid w:val="00602150"/>
    <w:rsid w:val="006113CC"/>
    <w:rsid w:val="00621759"/>
    <w:rsid w:val="0062273A"/>
    <w:rsid w:val="0062509E"/>
    <w:rsid w:val="00636702"/>
    <w:rsid w:val="00666985"/>
    <w:rsid w:val="00693FF7"/>
    <w:rsid w:val="006B4F19"/>
    <w:rsid w:val="006C711F"/>
    <w:rsid w:val="00772C7D"/>
    <w:rsid w:val="0078180E"/>
    <w:rsid w:val="007874AB"/>
    <w:rsid w:val="007C1313"/>
    <w:rsid w:val="007D1BD5"/>
    <w:rsid w:val="007F5788"/>
    <w:rsid w:val="00801533"/>
    <w:rsid w:val="00815B64"/>
    <w:rsid w:val="00882256"/>
    <w:rsid w:val="0088757C"/>
    <w:rsid w:val="008A1370"/>
    <w:rsid w:val="008B7A87"/>
    <w:rsid w:val="008E57E2"/>
    <w:rsid w:val="0091324B"/>
    <w:rsid w:val="00922FCD"/>
    <w:rsid w:val="00947346"/>
    <w:rsid w:val="00961D53"/>
    <w:rsid w:val="00963AA9"/>
    <w:rsid w:val="009732AC"/>
    <w:rsid w:val="00984439"/>
    <w:rsid w:val="00986B9A"/>
    <w:rsid w:val="00990699"/>
    <w:rsid w:val="009C5576"/>
    <w:rsid w:val="009D6F33"/>
    <w:rsid w:val="009F5E69"/>
    <w:rsid w:val="00A45D26"/>
    <w:rsid w:val="00A4778B"/>
    <w:rsid w:val="00A56316"/>
    <w:rsid w:val="00A630E7"/>
    <w:rsid w:val="00A63ED6"/>
    <w:rsid w:val="00A651C8"/>
    <w:rsid w:val="00A749FD"/>
    <w:rsid w:val="00AB0332"/>
    <w:rsid w:val="00AD6BBA"/>
    <w:rsid w:val="00AD7F93"/>
    <w:rsid w:val="00B073F1"/>
    <w:rsid w:val="00B24BB9"/>
    <w:rsid w:val="00B24F7C"/>
    <w:rsid w:val="00B33CD5"/>
    <w:rsid w:val="00B405A2"/>
    <w:rsid w:val="00B43E09"/>
    <w:rsid w:val="00B46089"/>
    <w:rsid w:val="00B51588"/>
    <w:rsid w:val="00B736C1"/>
    <w:rsid w:val="00B765EB"/>
    <w:rsid w:val="00B8229D"/>
    <w:rsid w:val="00B92F73"/>
    <w:rsid w:val="00BB15C3"/>
    <w:rsid w:val="00BC6240"/>
    <w:rsid w:val="00BE62C0"/>
    <w:rsid w:val="00C27D65"/>
    <w:rsid w:val="00C352FE"/>
    <w:rsid w:val="00C353D6"/>
    <w:rsid w:val="00C41AAD"/>
    <w:rsid w:val="00C62844"/>
    <w:rsid w:val="00C842F0"/>
    <w:rsid w:val="00C91E09"/>
    <w:rsid w:val="00C967DA"/>
    <w:rsid w:val="00C974FB"/>
    <w:rsid w:val="00CA2EB6"/>
    <w:rsid w:val="00CD38AD"/>
    <w:rsid w:val="00CD5A16"/>
    <w:rsid w:val="00CE069E"/>
    <w:rsid w:val="00CE72B4"/>
    <w:rsid w:val="00CF0743"/>
    <w:rsid w:val="00D404EE"/>
    <w:rsid w:val="00D953E9"/>
    <w:rsid w:val="00DA211A"/>
    <w:rsid w:val="00DB048C"/>
    <w:rsid w:val="00DC4DFF"/>
    <w:rsid w:val="00DC58A1"/>
    <w:rsid w:val="00DE58CE"/>
    <w:rsid w:val="00E2455B"/>
    <w:rsid w:val="00E2779E"/>
    <w:rsid w:val="00E300FF"/>
    <w:rsid w:val="00E67E77"/>
    <w:rsid w:val="00E773A0"/>
    <w:rsid w:val="00E77F41"/>
    <w:rsid w:val="00E876DD"/>
    <w:rsid w:val="00EB5862"/>
    <w:rsid w:val="00EC50C4"/>
    <w:rsid w:val="00ED2A76"/>
    <w:rsid w:val="00F37C61"/>
    <w:rsid w:val="00F548AF"/>
    <w:rsid w:val="00F616AF"/>
    <w:rsid w:val="00F75B81"/>
    <w:rsid w:val="00F77FC2"/>
    <w:rsid w:val="00FA4BC1"/>
    <w:rsid w:val="00FB3821"/>
    <w:rsid w:val="00FC2C1A"/>
    <w:rsid w:val="00FC3011"/>
    <w:rsid w:val="00FE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1F88A"/>
  <w15:chartTrackingRefBased/>
  <w15:docId w15:val="{EAF1A222-2A9E-427C-A52B-FB57C645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18299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8299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o-style-override">
    <w:name w:val="no-style-override"/>
    <w:basedOn w:val="Fuentedeprrafopredeter"/>
    <w:rsid w:val="00182993"/>
  </w:style>
  <w:style w:type="paragraph" w:styleId="Textodeglobo">
    <w:name w:val="Balloon Text"/>
    <w:basedOn w:val="Normal"/>
    <w:link w:val="TextodegloboCar"/>
    <w:uiPriority w:val="99"/>
    <w:semiHidden/>
    <w:unhideWhenUsed/>
    <w:rsid w:val="0018299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2993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651C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51C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666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72C7D"/>
  </w:style>
  <w:style w:type="paragraph" w:styleId="Prrafodelista">
    <w:name w:val="List Paragraph"/>
    <w:basedOn w:val="Normal"/>
    <w:uiPriority w:val="34"/>
    <w:qFormat/>
    <w:rsid w:val="00CD5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ASESORIA JURIDICA</dc:creator>
  <cp:keywords/>
  <dc:description/>
  <cp:lastModifiedBy>ASESORIA JURIDICA</cp:lastModifiedBy>
  <cp:revision>4</cp:revision>
  <cp:lastPrinted>2022-04-06T17:37:00Z</cp:lastPrinted>
  <dcterms:created xsi:type="dcterms:W3CDTF">2023-03-06T17:32:00Z</dcterms:created>
  <dcterms:modified xsi:type="dcterms:W3CDTF">2023-03-07T17:40:00Z</dcterms:modified>
</cp:coreProperties>
</file>