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93" w:rsidRDefault="00182993" w:rsidP="00182993">
      <w:pPr>
        <w:ind w:left="-142" w:right="-142"/>
        <w:jc w:val="center"/>
        <w:rPr>
          <w:rFonts w:ascii="Aparajita" w:hAnsi="Aparajita" w:cs="Aparajita"/>
          <w:b/>
          <w:i/>
          <w:sz w:val="34"/>
          <w:szCs w:val="34"/>
        </w:rPr>
      </w:pPr>
    </w:p>
    <w:p w:rsidR="00182993" w:rsidRPr="003A2478" w:rsidRDefault="00182993" w:rsidP="00182993">
      <w:pPr>
        <w:ind w:left="-142" w:right="-142"/>
        <w:jc w:val="center"/>
        <w:rPr>
          <w:rFonts w:ascii="Aparajita" w:hAnsi="Aparajita" w:cs="Aparajita"/>
          <w:b/>
          <w:i/>
          <w:sz w:val="34"/>
          <w:szCs w:val="34"/>
        </w:rPr>
      </w:pPr>
      <w:r w:rsidRPr="003A2478">
        <w:rPr>
          <w:rFonts w:ascii="Aparajita" w:hAnsi="Aparajita" w:cs="Aparajita"/>
          <w:b/>
          <w:i/>
          <w:sz w:val="34"/>
          <w:szCs w:val="34"/>
        </w:rPr>
        <w:t>RESOLUCI</w:t>
      </w:r>
      <w:r w:rsidRPr="005453D5">
        <w:rPr>
          <w:rFonts w:ascii="Aparajita" w:hAnsi="Aparajita" w:cs="Aparajita"/>
          <w:b/>
          <w:i/>
          <w:sz w:val="34"/>
          <w:szCs w:val="34"/>
        </w:rPr>
        <w:t>Ó</w:t>
      </w:r>
      <w:r w:rsidRPr="003A2478">
        <w:rPr>
          <w:rFonts w:ascii="Aparajita" w:hAnsi="Aparajita" w:cs="Aparajita"/>
          <w:b/>
          <w:i/>
          <w:sz w:val="34"/>
          <w:szCs w:val="34"/>
        </w:rPr>
        <w:t>N DIRECTORAL</w:t>
      </w:r>
    </w:p>
    <w:p w:rsidR="00182993" w:rsidRPr="003A2478" w:rsidRDefault="00182993" w:rsidP="00182993">
      <w:pPr>
        <w:pStyle w:val="Encabezado"/>
        <w:tabs>
          <w:tab w:val="clear" w:pos="4252"/>
          <w:tab w:val="clear" w:pos="8504"/>
          <w:tab w:val="left" w:pos="6105"/>
        </w:tabs>
        <w:ind w:left="-142" w:right="-142"/>
        <w:jc w:val="center"/>
        <w:rPr>
          <w:rFonts w:ascii="Aparajita" w:hAnsi="Aparajita" w:cs="Aparajita"/>
          <w:b/>
          <w:i/>
          <w:sz w:val="34"/>
          <w:szCs w:val="34"/>
        </w:rPr>
      </w:pPr>
      <w:r>
        <w:rPr>
          <w:rFonts w:ascii="Aparajita" w:hAnsi="Aparajita" w:cs="Aparajita"/>
          <w:b/>
          <w:i/>
          <w:sz w:val="34"/>
          <w:szCs w:val="34"/>
        </w:rPr>
        <w:t>N</w:t>
      </w:r>
      <w:r w:rsidR="00FC4EB2">
        <w:rPr>
          <w:rFonts w:ascii="Aparajita" w:hAnsi="Aparajita" w:cs="Aparajita"/>
          <w:b/>
          <w:i/>
          <w:sz w:val="34"/>
          <w:szCs w:val="34"/>
        </w:rPr>
        <w:t>°0159</w:t>
      </w:r>
      <w:r w:rsidR="0052041C">
        <w:rPr>
          <w:rFonts w:ascii="Aparajita" w:hAnsi="Aparajita" w:cs="Aparajita"/>
          <w:b/>
          <w:i/>
          <w:sz w:val="34"/>
          <w:szCs w:val="34"/>
        </w:rPr>
        <w:t xml:space="preserve"> </w:t>
      </w:r>
      <w:r w:rsidR="00A651C8">
        <w:rPr>
          <w:rFonts w:ascii="Aparajita" w:hAnsi="Aparajita" w:cs="Aparajita"/>
          <w:b/>
          <w:i/>
          <w:sz w:val="34"/>
          <w:szCs w:val="34"/>
        </w:rPr>
        <w:t>-</w:t>
      </w:r>
      <w:r w:rsidR="00DE059A">
        <w:rPr>
          <w:rFonts w:ascii="Aparajita" w:hAnsi="Aparajita" w:cs="Aparajita"/>
          <w:b/>
          <w:i/>
          <w:sz w:val="34"/>
          <w:szCs w:val="34"/>
        </w:rPr>
        <w:t>2022</w:t>
      </w:r>
      <w:r>
        <w:rPr>
          <w:rFonts w:ascii="Aparajita" w:hAnsi="Aparajita" w:cs="Aparajita"/>
          <w:b/>
          <w:i/>
          <w:sz w:val="34"/>
          <w:szCs w:val="34"/>
        </w:rPr>
        <w:t>/GOB.REG-HVCA</w:t>
      </w:r>
      <w:r w:rsidRPr="003A2478">
        <w:rPr>
          <w:rFonts w:ascii="Aparajita" w:hAnsi="Aparajita" w:cs="Aparajita"/>
          <w:b/>
          <w:i/>
          <w:sz w:val="34"/>
          <w:szCs w:val="34"/>
        </w:rPr>
        <w:t>/HPT</w:t>
      </w:r>
    </w:p>
    <w:p w:rsidR="00182993" w:rsidRPr="003A2478" w:rsidRDefault="00182993" w:rsidP="00182993">
      <w:pPr>
        <w:pStyle w:val="Encabezado"/>
        <w:tabs>
          <w:tab w:val="clear" w:pos="4252"/>
          <w:tab w:val="clear" w:pos="8504"/>
          <w:tab w:val="left" w:pos="6105"/>
        </w:tabs>
        <w:ind w:left="-142" w:right="-142"/>
        <w:rPr>
          <w:rFonts w:ascii="Century Gothic" w:hAnsi="Century Gothic"/>
          <w:b/>
          <w:i/>
          <w:sz w:val="22"/>
          <w:szCs w:val="18"/>
        </w:rPr>
      </w:pPr>
    </w:p>
    <w:p w:rsidR="00182993" w:rsidRPr="00947346" w:rsidRDefault="00182993" w:rsidP="00182993">
      <w:pPr>
        <w:ind w:left="-142" w:right="-142"/>
        <w:jc w:val="right"/>
        <w:rPr>
          <w:rFonts w:ascii="Century Gothic" w:hAnsi="Century Gothic" w:cs="Aparajita"/>
          <w:b/>
          <w:i/>
          <w:sz w:val="22"/>
          <w:szCs w:val="22"/>
        </w:rPr>
      </w:pPr>
      <w:r w:rsidRPr="00947346">
        <w:rPr>
          <w:rFonts w:ascii="Century Gothic" w:hAnsi="Century Gothic" w:cs="Aparajita"/>
          <w:b/>
          <w:i/>
          <w:sz w:val="22"/>
          <w:szCs w:val="22"/>
        </w:rPr>
        <w:t>Pampas,</w:t>
      </w:r>
      <w:r w:rsidR="0052041C">
        <w:rPr>
          <w:rFonts w:ascii="Century Gothic" w:hAnsi="Century Gothic" w:cs="Aparajita"/>
          <w:b/>
          <w:i/>
          <w:sz w:val="22"/>
          <w:szCs w:val="22"/>
        </w:rPr>
        <w:t>01</w:t>
      </w:r>
      <w:r w:rsidR="00BD4636">
        <w:rPr>
          <w:rFonts w:ascii="Century Gothic" w:hAnsi="Century Gothic" w:cs="Aparajita"/>
          <w:b/>
          <w:i/>
          <w:sz w:val="22"/>
          <w:szCs w:val="22"/>
        </w:rPr>
        <w:t xml:space="preserve"> </w:t>
      </w:r>
      <w:r w:rsidRPr="00947346">
        <w:rPr>
          <w:rFonts w:ascii="Century Gothic" w:hAnsi="Century Gothic" w:cs="Aparajita"/>
          <w:b/>
          <w:i/>
          <w:sz w:val="22"/>
          <w:szCs w:val="22"/>
        </w:rPr>
        <w:t xml:space="preserve">de </w:t>
      </w:r>
      <w:r w:rsidR="006612E2">
        <w:rPr>
          <w:rFonts w:ascii="Century Gothic" w:hAnsi="Century Gothic" w:cs="Aparajita"/>
          <w:b/>
          <w:i/>
          <w:sz w:val="22"/>
          <w:szCs w:val="22"/>
        </w:rPr>
        <w:t>marzo</w:t>
      </w:r>
      <w:r w:rsidRPr="00947346">
        <w:rPr>
          <w:rFonts w:ascii="Century Gothic" w:hAnsi="Century Gothic" w:cs="Aparajita"/>
          <w:b/>
          <w:i/>
          <w:sz w:val="22"/>
          <w:szCs w:val="22"/>
        </w:rPr>
        <w:t xml:space="preserve"> </w:t>
      </w:r>
      <w:r w:rsidR="0052041C">
        <w:rPr>
          <w:rFonts w:ascii="Century Gothic" w:hAnsi="Century Gothic" w:cs="Aparajita"/>
          <w:b/>
          <w:i/>
          <w:sz w:val="22"/>
          <w:szCs w:val="22"/>
        </w:rPr>
        <w:t>de 2023</w:t>
      </w:r>
    </w:p>
    <w:p w:rsidR="00182993" w:rsidRPr="00947346" w:rsidRDefault="00182993" w:rsidP="00182993">
      <w:pPr>
        <w:ind w:left="-142" w:right="-142"/>
        <w:jc w:val="center"/>
        <w:rPr>
          <w:rFonts w:ascii="Century Gothic" w:hAnsi="Century Gothic" w:cs="Arial"/>
          <w:b/>
          <w:i/>
          <w:sz w:val="22"/>
          <w:szCs w:val="22"/>
        </w:rPr>
      </w:pPr>
    </w:p>
    <w:p w:rsidR="00182993" w:rsidRPr="00947346" w:rsidRDefault="00182993" w:rsidP="00182993">
      <w:pPr>
        <w:ind w:left="-142" w:right="-142"/>
        <w:rPr>
          <w:rFonts w:ascii="Century Gothic" w:hAnsi="Century Gothic" w:cs="Aparajita"/>
          <w:b/>
          <w:i/>
          <w:sz w:val="22"/>
          <w:szCs w:val="22"/>
        </w:rPr>
      </w:pPr>
      <w:r w:rsidRPr="00947346">
        <w:rPr>
          <w:rFonts w:ascii="Century Gothic" w:hAnsi="Century Gothic" w:cs="Aparajita"/>
          <w:b/>
          <w:i/>
          <w:sz w:val="22"/>
          <w:szCs w:val="22"/>
        </w:rPr>
        <w:t>VISTO:</w:t>
      </w:r>
    </w:p>
    <w:p w:rsidR="00182993" w:rsidRPr="003A2478" w:rsidRDefault="0052041C" w:rsidP="00182993">
      <w:pPr>
        <w:ind w:left="-142" w:right="-142" w:firstLine="850"/>
        <w:jc w:val="both"/>
        <w:rPr>
          <w:rFonts w:ascii="Century Gothic" w:hAnsi="Century Gothic" w:cs="Aparajita"/>
          <w:i/>
          <w:sz w:val="22"/>
          <w:szCs w:val="22"/>
        </w:rPr>
      </w:pPr>
      <w:r>
        <w:rPr>
          <w:rFonts w:ascii="Century Gothic" w:hAnsi="Century Gothic" w:cs="Aparajita"/>
          <w:i/>
          <w:sz w:val="22"/>
          <w:szCs w:val="22"/>
        </w:rPr>
        <w:t>El MEMORANDUM N° 00173-2023</w:t>
      </w:r>
      <w:r w:rsidR="00BB2543">
        <w:rPr>
          <w:rFonts w:ascii="Century Gothic" w:hAnsi="Century Gothic" w:cs="Aparajita"/>
          <w:i/>
          <w:sz w:val="22"/>
          <w:szCs w:val="22"/>
        </w:rPr>
        <w:t>/GOB.REG-HVCA/HPT-D</w:t>
      </w:r>
      <w:r w:rsidR="006612E2">
        <w:rPr>
          <w:rFonts w:ascii="Century Gothic" w:hAnsi="Century Gothic" w:cs="Aparajita"/>
          <w:i/>
          <w:sz w:val="22"/>
          <w:szCs w:val="22"/>
        </w:rPr>
        <w:t xml:space="preserve"> de fecha </w:t>
      </w:r>
      <w:r>
        <w:rPr>
          <w:rFonts w:ascii="Century Gothic" w:hAnsi="Century Gothic" w:cs="Aparajita"/>
          <w:i/>
          <w:sz w:val="22"/>
          <w:szCs w:val="22"/>
        </w:rPr>
        <w:t>1</w:t>
      </w:r>
      <w:r w:rsidR="006612E2">
        <w:rPr>
          <w:rFonts w:ascii="Century Gothic" w:hAnsi="Century Gothic" w:cs="Aparajita"/>
          <w:i/>
          <w:sz w:val="22"/>
          <w:szCs w:val="22"/>
        </w:rPr>
        <w:t>3</w:t>
      </w:r>
      <w:r w:rsidR="00EC50C4" w:rsidRPr="00947346">
        <w:rPr>
          <w:rFonts w:ascii="Century Gothic" w:hAnsi="Century Gothic" w:cs="Aparajita"/>
          <w:i/>
          <w:sz w:val="22"/>
          <w:szCs w:val="22"/>
        </w:rPr>
        <w:t xml:space="preserve"> </w:t>
      </w:r>
      <w:r>
        <w:rPr>
          <w:rFonts w:ascii="Century Gothic" w:hAnsi="Century Gothic" w:cs="Aparajita"/>
          <w:i/>
          <w:sz w:val="22"/>
          <w:szCs w:val="22"/>
        </w:rPr>
        <w:t>de febrer</w:t>
      </w:r>
      <w:r w:rsidR="006612E2">
        <w:rPr>
          <w:rFonts w:ascii="Century Gothic" w:hAnsi="Century Gothic" w:cs="Aparajita"/>
          <w:i/>
          <w:sz w:val="22"/>
          <w:szCs w:val="22"/>
        </w:rPr>
        <w:t>o</w:t>
      </w:r>
      <w:r w:rsidR="00331543" w:rsidRPr="00947346">
        <w:rPr>
          <w:rFonts w:ascii="Century Gothic" w:hAnsi="Century Gothic" w:cs="Aparajita"/>
          <w:i/>
          <w:sz w:val="22"/>
          <w:szCs w:val="22"/>
        </w:rPr>
        <w:t xml:space="preserve"> del pres</w:t>
      </w:r>
      <w:r w:rsidR="00BD4636">
        <w:rPr>
          <w:rFonts w:ascii="Century Gothic" w:hAnsi="Century Gothic" w:cs="Aparajita"/>
          <w:i/>
          <w:sz w:val="22"/>
          <w:szCs w:val="22"/>
        </w:rPr>
        <w:t>ente año,</w:t>
      </w:r>
      <w:r w:rsidR="005B1BFD">
        <w:rPr>
          <w:rFonts w:ascii="Century Gothic" w:hAnsi="Century Gothic" w:cs="Aparajita"/>
          <w:i/>
          <w:sz w:val="22"/>
          <w:szCs w:val="22"/>
        </w:rPr>
        <w:t xml:space="preserve"> </w:t>
      </w:r>
      <w:r w:rsidR="005B1BFD" w:rsidRPr="005B1BFD">
        <w:rPr>
          <w:rFonts w:ascii="Century Gothic" w:hAnsi="Century Gothic" w:cs="Aparajita"/>
          <w:i/>
          <w:sz w:val="22"/>
          <w:szCs w:val="22"/>
        </w:rPr>
        <w:t xml:space="preserve">acompañado del documento de referencia </w:t>
      </w:r>
      <w:r>
        <w:rPr>
          <w:rFonts w:ascii="Century Gothic" w:hAnsi="Century Gothic" w:cs="Aparajita"/>
          <w:i/>
          <w:sz w:val="22"/>
          <w:szCs w:val="22"/>
        </w:rPr>
        <w:t xml:space="preserve">INFORME N° 19-2023-GOB.REG-HVCA/DIRESA-HPT-UE, </w:t>
      </w:r>
      <w:r w:rsidR="00BD4636" w:rsidRPr="00BD4636">
        <w:rPr>
          <w:rFonts w:ascii="Century Gothic" w:hAnsi="Century Gothic" w:cs="Aparajita"/>
          <w:i/>
          <w:sz w:val="22"/>
          <w:szCs w:val="22"/>
        </w:rPr>
        <w:t>EL Director Ejecutivo del Hospital de Pampas- Tayacaja</w:t>
      </w:r>
      <w:r w:rsidR="00BD4636" w:rsidRPr="00BD4636">
        <w:t xml:space="preserve"> </w:t>
      </w:r>
      <w:r w:rsidR="00BD4636" w:rsidRPr="00BD4636">
        <w:rPr>
          <w:rFonts w:ascii="Century Gothic" w:hAnsi="Century Gothic" w:cs="Aparajita"/>
          <w:i/>
          <w:sz w:val="22"/>
          <w:szCs w:val="22"/>
        </w:rPr>
        <w:t>ordena proyectar el acto resolutivo aprobando</w:t>
      </w:r>
      <w:r w:rsidR="006612E2">
        <w:rPr>
          <w:rFonts w:ascii="Century Gothic" w:hAnsi="Century Gothic" w:cs="Aparajita"/>
          <w:i/>
          <w:sz w:val="22"/>
          <w:szCs w:val="22"/>
        </w:rPr>
        <w:t xml:space="preserve"> el PLAN DE VIGILANCIA, PREVENCION Y CONTROL DE INFECCIONES ASOCIADAS A LA ATENCION DE SALUD DEL SALUD DEL HOSPITAL DE P</w:t>
      </w:r>
      <w:r>
        <w:rPr>
          <w:rFonts w:ascii="Century Gothic" w:hAnsi="Century Gothic" w:cs="Aparajita"/>
          <w:i/>
          <w:sz w:val="22"/>
          <w:szCs w:val="22"/>
        </w:rPr>
        <w:t>AMPAS DE TAYACAJA</w:t>
      </w:r>
      <w:r w:rsidR="00BC3C6C">
        <w:rPr>
          <w:rFonts w:ascii="Century Gothic" w:hAnsi="Century Gothic" w:cs="Aparajita"/>
          <w:i/>
          <w:sz w:val="22"/>
          <w:szCs w:val="22"/>
        </w:rPr>
        <w:t>;</w:t>
      </w: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  <w:r w:rsidRPr="003A2478">
        <w:rPr>
          <w:rFonts w:ascii="Century Gothic" w:hAnsi="Century Gothic" w:cs="Aparajita"/>
          <w:b/>
          <w:i/>
          <w:sz w:val="22"/>
          <w:szCs w:val="22"/>
        </w:rPr>
        <w:t>CONSIDERANDO:</w:t>
      </w: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</w:p>
    <w:p w:rsidR="00182993" w:rsidRDefault="00182993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 w:rsidRPr="00220EC1">
        <w:rPr>
          <w:rFonts w:ascii="Century Gothic" w:eastAsia="Batang" w:hAnsi="Century Gothic" w:cs="Aparajita"/>
          <w:i/>
          <w:sz w:val="22"/>
          <w:szCs w:val="22"/>
        </w:rPr>
        <w:t xml:space="preserve">Que, los Gobiernos Regionales tienen autonomía política, económica y administrativa en asuntos de su competencia, conforme al artículo 2° de la Ley Nº 27867 – Ley Orgánica de Gobiernos Regionales, concordante con el artículo 191° de la Ley N° </w:t>
      </w:r>
      <w:r w:rsidR="00E2455B" w:rsidRPr="00220EC1">
        <w:rPr>
          <w:rFonts w:ascii="Century Gothic" w:eastAsia="Batang" w:hAnsi="Century Gothic" w:cs="Aparajita"/>
          <w:i/>
          <w:sz w:val="22"/>
          <w:szCs w:val="22"/>
        </w:rPr>
        <w:t>27680</w:t>
      </w:r>
      <w:r w:rsidR="00E2455B">
        <w:rPr>
          <w:rFonts w:ascii="Century Gothic" w:eastAsia="Batang" w:hAnsi="Century Gothic" w:cs="Aparajita"/>
          <w:i/>
          <w:sz w:val="22"/>
          <w:szCs w:val="22"/>
        </w:rPr>
        <w:t>;</w:t>
      </w:r>
    </w:p>
    <w:p w:rsidR="00182993" w:rsidRDefault="00182993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182993" w:rsidRDefault="00182993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 w:rsidRPr="003A2478">
        <w:rPr>
          <w:rFonts w:ascii="Century Gothic" w:eastAsia="Batang" w:hAnsi="Century Gothic" w:cs="Aparajita"/>
          <w:i/>
          <w:sz w:val="22"/>
          <w:szCs w:val="22"/>
        </w:rPr>
        <w:t>Que, mediante Ley N° 30281 – Ley de Presupuesto del Sector Publico para el año Fiscal 2015, se dispone la creación de la Unid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ad Ejecutora Hospital de Pampas de Tayacaja, </w:t>
      </w:r>
      <w:r w:rsidRPr="003A2478">
        <w:rPr>
          <w:rFonts w:ascii="Century Gothic" w:eastAsia="Batang" w:hAnsi="Century Gothic" w:cs="Aparajita"/>
          <w:i/>
          <w:sz w:val="22"/>
          <w:szCs w:val="22"/>
        </w:rPr>
        <w:t>en el Pliego Gobierno Regional de Huancavelica;</w:t>
      </w:r>
    </w:p>
    <w:p w:rsidR="00182993" w:rsidRDefault="00182993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3D0E71" w:rsidRDefault="00144E39" w:rsidP="006612E2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t>Que, de conformidad al artículo N°</w:t>
      </w:r>
      <w:r w:rsidR="00043550">
        <w:rPr>
          <w:rFonts w:ascii="Century Gothic" w:eastAsia="Batang" w:hAnsi="Century Gothic" w:cs="Aparajita"/>
          <w:i/>
          <w:sz w:val="22"/>
          <w:szCs w:val="22"/>
        </w:rPr>
        <w:t xml:space="preserve"> 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37 del Decreto Supremo 304-2012 </w:t>
      </w:r>
      <w:r w:rsidR="00E2455B">
        <w:rPr>
          <w:rFonts w:ascii="Century Gothic" w:eastAsia="Batang" w:hAnsi="Century Gothic" w:cs="Aparajita"/>
          <w:i/>
          <w:sz w:val="22"/>
          <w:szCs w:val="22"/>
        </w:rPr>
        <w:t>EF, que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 aprueba el texto Único Ordenado de la ley N° </w:t>
      </w:r>
      <w:r w:rsidR="00E2455B">
        <w:rPr>
          <w:rFonts w:ascii="Century Gothic" w:eastAsia="Batang" w:hAnsi="Century Gothic" w:cs="Aparajita"/>
          <w:i/>
          <w:sz w:val="22"/>
          <w:szCs w:val="22"/>
        </w:rPr>
        <w:t>28411, Ley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 General del Sistema nacional del presupuesto “Los gastos comprometidos y no devengados al 31 de diciembre de cada año fiscal pueden afectarse al Presupuesto Institucional del periodo inmediato </w:t>
      </w:r>
      <w:r w:rsidR="00E2455B">
        <w:rPr>
          <w:rFonts w:ascii="Century Gothic" w:eastAsia="Batang" w:hAnsi="Century Gothic" w:cs="Aparajita"/>
          <w:i/>
          <w:sz w:val="22"/>
          <w:szCs w:val="22"/>
        </w:rPr>
        <w:t>siguiente, previa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 anulación del registro presupuestario </w:t>
      </w:r>
      <w:r w:rsidR="00E2455B">
        <w:rPr>
          <w:rFonts w:ascii="Century Gothic" w:eastAsia="Batang" w:hAnsi="Century Gothic" w:cs="Aparajita"/>
          <w:i/>
          <w:sz w:val="22"/>
          <w:szCs w:val="22"/>
        </w:rPr>
        <w:t>efectuado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 a la citada </w:t>
      </w:r>
      <w:r w:rsidR="00E2455B">
        <w:rPr>
          <w:rFonts w:ascii="Century Gothic" w:eastAsia="Batang" w:hAnsi="Century Gothic" w:cs="Aparajita"/>
          <w:i/>
          <w:sz w:val="22"/>
          <w:szCs w:val="22"/>
        </w:rPr>
        <w:t>fecha. En tal caso, se imputan dichos compromisos a los créditos presupuestarios aprobados para el nuevo año fiscal “dicho enunciado se mantiene vigente mediante el D.L N° 1440-Decreto Legislativo del sistema nacional del Presupuesto Público;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 </w:t>
      </w:r>
      <w:r w:rsidR="00182993">
        <w:rPr>
          <w:rFonts w:ascii="Century Gothic" w:eastAsia="Batang" w:hAnsi="Century Gothic" w:cs="Aparajita"/>
          <w:i/>
          <w:sz w:val="22"/>
          <w:szCs w:val="22"/>
        </w:rPr>
        <w:t xml:space="preserve"> </w:t>
      </w:r>
    </w:p>
    <w:p w:rsidR="006612E2" w:rsidRDefault="006612E2" w:rsidP="006612E2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3D0E71" w:rsidRDefault="003D0E71" w:rsidP="003D0E71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t>Que, mediante los artículos I y II del Título Preliminar de la ley General de Salud- Ley N° 26842, establecen que la salud es condición indispensable del desarrollo humano y medio fundamental para alcanzar el bienestar individual y colectivo, por lo que la protección de la salud es de interés público, siendo responsabilidad del Estado regularla, vigilarla y promoverla;</w:t>
      </w:r>
    </w:p>
    <w:p w:rsidR="00E2455B" w:rsidRDefault="00E2455B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182993" w:rsidRPr="008945BE" w:rsidRDefault="003D0E71" w:rsidP="00182993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  <w:lang w:val="es-PE"/>
        </w:rPr>
      </w:pPr>
      <w:r w:rsidRPr="008945BE">
        <w:rPr>
          <w:rFonts w:ascii="Century Gothic" w:hAnsi="Century Gothic" w:cs="Arial"/>
          <w:i/>
          <w:color w:val="000000"/>
          <w:sz w:val="22"/>
          <w:szCs w:val="22"/>
          <w:lang w:val="es-PE"/>
        </w:rPr>
        <w:t>Que,</w:t>
      </w:r>
      <w:r w:rsidR="008945BE" w:rsidRPr="008945BE">
        <w:rPr>
          <w:rFonts w:ascii="Century Gothic" w:hAnsi="Century Gothic" w:cs="Arial"/>
          <w:i/>
          <w:color w:val="000000"/>
          <w:sz w:val="22"/>
          <w:szCs w:val="22"/>
          <w:lang w:val="es-PE"/>
        </w:rPr>
        <w:t xml:space="preserve"> en ese sentido, mediante la Norma Técnica de Salud N° 020-MINSA/DGSP-V.01 Norma Técnica de Prevención y Control de las Infecciones Intrahospitalarias, aprobada por la Resolución Ministerial N° 753-2004/MINSA, se ha definido al Sistema de Control de Infecciones Intrahospitalarias ,Como la agrupación de diversos componentes de la estructura del Sector Salud en mutua interacción ,que permite la prevención y control de los procesos infecciosos adquiridos en los hospitales y cuyo propósito es mejorar la calidad de atención de servicios hospitalarios reduciendo el impacto negativo de las infecciones intrahospitalarias</w:t>
      </w:r>
      <w:r w:rsidR="00156314" w:rsidRPr="008945BE">
        <w:rPr>
          <w:rFonts w:ascii="Century Gothic" w:hAnsi="Century Gothic" w:cs="Arial"/>
          <w:i/>
          <w:color w:val="000000"/>
          <w:sz w:val="22"/>
          <w:szCs w:val="22"/>
          <w:lang w:val="es-PE"/>
        </w:rPr>
        <w:t>;</w:t>
      </w:r>
    </w:p>
    <w:p w:rsidR="00156314" w:rsidRPr="003D0E71" w:rsidRDefault="00156314" w:rsidP="00182993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  <w:highlight w:val="yellow"/>
          <w:lang w:val="es-PE"/>
        </w:rPr>
      </w:pPr>
    </w:p>
    <w:p w:rsidR="00156314" w:rsidRPr="00E50BD9" w:rsidRDefault="008945BE" w:rsidP="00E50BD9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  <w:lang w:val="es-PE"/>
        </w:rPr>
      </w:pPr>
      <w:r w:rsidRPr="00E50BD9">
        <w:rPr>
          <w:rFonts w:ascii="Century Gothic" w:hAnsi="Century Gothic" w:cs="Arial"/>
          <w:i/>
          <w:color w:val="000000"/>
          <w:sz w:val="22"/>
          <w:szCs w:val="22"/>
          <w:lang w:val="es-PE"/>
        </w:rPr>
        <w:lastRenderedPageBreak/>
        <w:t xml:space="preserve">Que, mediante Resolución Ministerial N° 179-2005/MINSA, se aprueba la Norma Técnica N° 026-MINSA/OGE-V.01 Norma Técnica de Vigilancia Epidemiológica de Infecciones Intrahospitalarias cuyo objetivo es proporcionar información actualizada sobre la magnitud de las infecciones </w:t>
      </w:r>
      <w:r w:rsidR="00E50BD9" w:rsidRPr="00E50BD9">
        <w:rPr>
          <w:rFonts w:ascii="Century Gothic" w:hAnsi="Century Gothic" w:cs="Arial"/>
          <w:i/>
          <w:color w:val="000000"/>
          <w:sz w:val="22"/>
          <w:szCs w:val="22"/>
          <w:lang w:val="es-PE"/>
        </w:rPr>
        <w:t>intrahospitalarias, sus</w:t>
      </w:r>
      <w:r w:rsidRPr="00E50BD9">
        <w:rPr>
          <w:rFonts w:ascii="Century Gothic" w:hAnsi="Century Gothic" w:cs="Arial"/>
          <w:i/>
          <w:color w:val="000000"/>
          <w:sz w:val="22"/>
          <w:szCs w:val="22"/>
          <w:lang w:val="es-PE"/>
        </w:rPr>
        <w:t xml:space="preserve"> factores relacionados y orientar la toma de decisiones y acciones dirigidas a la disminución </w:t>
      </w:r>
      <w:r w:rsidR="00E50BD9" w:rsidRPr="00E50BD9">
        <w:rPr>
          <w:rFonts w:ascii="Century Gothic" w:hAnsi="Century Gothic" w:cs="Arial"/>
          <w:i/>
          <w:color w:val="000000"/>
          <w:sz w:val="22"/>
          <w:szCs w:val="22"/>
          <w:lang w:val="es-PE"/>
        </w:rPr>
        <w:t>de estos daños</w:t>
      </w:r>
      <w:r w:rsidR="002E288D" w:rsidRPr="00E50BD9">
        <w:rPr>
          <w:rFonts w:ascii="Century Gothic" w:hAnsi="Century Gothic" w:cs="Arial"/>
          <w:i/>
          <w:color w:val="000000"/>
          <w:sz w:val="22"/>
          <w:szCs w:val="22"/>
          <w:lang w:val="es-PE"/>
        </w:rPr>
        <w:t>;</w:t>
      </w:r>
    </w:p>
    <w:p w:rsidR="002E288D" w:rsidRPr="003D0E71" w:rsidRDefault="002E288D" w:rsidP="00E50BD9">
      <w:pPr>
        <w:ind w:right="-142"/>
        <w:jc w:val="both"/>
        <w:rPr>
          <w:rFonts w:ascii="Century Gothic" w:hAnsi="Century Gothic" w:cs="Arial"/>
          <w:i/>
          <w:color w:val="000000"/>
          <w:sz w:val="22"/>
          <w:szCs w:val="22"/>
          <w:highlight w:val="yellow"/>
          <w:lang w:val="es-PE"/>
        </w:rPr>
      </w:pPr>
    </w:p>
    <w:p w:rsidR="002E288D" w:rsidRPr="00E50BD9" w:rsidRDefault="002E288D" w:rsidP="00182993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  <w:lang w:val="es-PE"/>
        </w:rPr>
      </w:pPr>
      <w:r w:rsidRPr="00E50BD9">
        <w:rPr>
          <w:rFonts w:ascii="Century Gothic" w:hAnsi="Century Gothic" w:cs="Arial"/>
          <w:i/>
          <w:color w:val="000000"/>
          <w:sz w:val="22"/>
          <w:szCs w:val="22"/>
          <w:lang w:val="es-PE"/>
        </w:rPr>
        <w:tab/>
      </w:r>
      <w:r w:rsidR="00B765EB" w:rsidRPr="00E50BD9">
        <w:rPr>
          <w:rFonts w:ascii="Century Gothic" w:hAnsi="Century Gothic" w:cs="Arial"/>
          <w:i/>
          <w:color w:val="000000"/>
          <w:sz w:val="22"/>
          <w:szCs w:val="22"/>
          <w:lang w:val="es-PE"/>
        </w:rPr>
        <w:t>Que, asimismo</w:t>
      </w:r>
      <w:r w:rsidRPr="00E50BD9">
        <w:rPr>
          <w:rFonts w:ascii="Century Gothic" w:hAnsi="Century Gothic" w:cs="Arial"/>
          <w:i/>
          <w:color w:val="000000"/>
          <w:sz w:val="22"/>
          <w:szCs w:val="22"/>
          <w:lang w:val="es-PE"/>
        </w:rPr>
        <w:t>, l</w:t>
      </w:r>
      <w:r w:rsidR="00E50BD9" w:rsidRPr="00E50BD9">
        <w:rPr>
          <w:rFonts w:ascii="Century Gothic" w:hAnsi="Century Gothic" w:cs="Arial"/>
          <w:i/>
          <w:color w:val="000000"/>
          <w:sz w:val="22"/>
          <w:szCs w:val="22"/>
          <w:lang w:val="es-PE"/>
        </w:rPr>
        <w:t>a citada directiva, establece que el Comité de Infecciones deberá efectuar Intervenciones de prevención y control de infecciones a través de la elaboración del Plan Local Anual de Prevención y Control de las Infecciones Intrahospitalarias</w:t>
      </w:r>
      <w:r w:rsidR="00C352FE" w:rsidRPr="00E50BD9">
        <w:rPr>
          <w:rFonts w:ascii="Century Gothic" w:hAnsi="Century Gothic" w:cs="Arial"/>
          <w:i/>
          <w:color w:val="000000"/>
          <w:sz w:val="22"/>
          <w:szCs w:val="22"/>
          <w:lang w:val="es-PE"/>
        </w:rPr>
        <w:t>;</w:t>
      </w:r>
    </w:p>
    <w:p w:rsidR="00C352FE" w:rsidRPr="003D0E71" w:rsidRDefault="00C352FE" w:rsidP="003C43D3">
      <w:pPr>
        <w:ind w:right="-142"/>
        <w:jc w:val="both"/>
        <w:rPr>
          <w:rFonts w:ascii="Century Gothic" w:hAnsi="Century Gothic" w:cs="Arial"/>
          <w:i/>
          <w:color w:val="000000"/>
          <w:sz w:val="22"/>
          <w:szCs w:val="22"/>
          <w:highlight w:val="yellow"/>
          <w:lang w:val="es-PE"/>
        </w:rPr>
      </w:pPr>
    </w:p>
    <w:p w:rsidR="00C352FE" w:rsidRDefault="00E50BD9" w:rsidP="00C352FE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  <w:lang w:val="es-PE"/>
        </w:rPr>
      </w:pPr>
      <w:r w:rsidRPr="00E50BD9">
        <w:rPr>
          <w:rFonts w:ascii="Century Gothic" w:hAnsi="Century Gothic" w:cs="Arial"/>
          <w:i/>
          <w:color w:val="000000"/>
          <w:sz w:val="22"/>
          <w:szCs w:val="22"/>
          <w:lang w:val="es-PE"/>
        </w:rPr>
        <w:t>Que, literal e) del numeral 6.1 del artículo VI del Documento Técnico: Lineamientos para la Vigilancia, Prevención y Control de las Infecciones Asociadas a la Atención de Salud, aprobado mediante Resolución Ministerial N° 168-2015/MINSA</w:t>
      </w:r>
      <w:r w:rsidR="00C352FE" w:rsidRPr="00E50BD9">
        <w:rPr>
          <w:rFonts w:ascii="Century Gothic" w:hAnsi="Century Gothic" w:cs="Arial"/>
          <w:i/>
          <w:color w:val="000000"/>
          <w:sz w:val="22"/>
          <w:szCs w:val="22"/>
          <w:lang w:val="es-PE"/>
        </w:rPr>
        <w:t>;</w:t>
      </w:r>
      <w:r w:rsidRPr="00E50BD9">
        <w:rPr>
          <w:rFonts w:ascii="Century Gothic" w:hAnsi="Century Gothic" w:cs="Arial"/>
          <w:i/>
          <w:color w:val="000000"/>
          <w:sz w:val="22"/>
          <w:szCs w:val="22"/>
          <w:lang w:val="es-PE"/>
        </w:rPr>
        <w:t xml:space="preserve"> establece que como estrategia realizar el monitoreo y evaluación del cumplimiento de la normatividad y planes de trabajo en vigilancia, prevención y control de las Infecciones Asociadas a la Atención en Salud;</w:t>
      </w:r>
    </w:p>
    <w:p w:rsidR="00E50BD9" w:rsidRDefault="00E50BD9" w:rsidP="00C352FE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  <w:lang w:val="es-PE"/>
        </w:rPr>
      </w:pPr>
    </w:p>
    <w:p w:rsidR="00DC0CD4" w:rsidRDefault="00E50BD9" w:rsidP="003C43D3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  <w:lang w:val="es-PE"/>
        </w:rPr>
      </w:pPr>
      <w:r>
        <w:rPr>
          <w:rFonts w:ascii="Century Gothic" w:hAnsi="Century Gothic" w:cs="Arial"/>
          <w:i/>
          <w:color w:val="000000"/>
          <w:sz w:val="22"/>
          <w:szCs w:val="22"/>
          <w:lang w:val="es-PE"/>
        </w:rPr>
        <w:t xml:space="preserve">Que, la Resolución Ministerial N° 850-2016/MINSA aprueba las “Normas para la </w:t>
      </w:r>
      <w:r w:rsidR="00DC0CD4">
        <w:rPr>
          <w:rFonts w:ascii="Century Gothic" w:hAnsi="Century Gothic" w:cs="Arial"/>
          <w:i/>
          <w:color w:val="000000"/>
          <w:sz w:val="22"/>
          <w:szCs w:val="22"/>
          <w:lang w:val="es-PE"/>
        </w:rPr>
        <w:t>Elaboración</w:t>
      </w:r>
      <w:r>
        <w:rPr>
          <w:rFonts w:ascii="Century Gothic" w:hAnsi="Century Gothic" w:cs="Arial"/>
          <w:i/>
          <w:color w:val="000000"/>
          <w:sz w:val="22"/>
          <w:szCs w:val="22"/>
          <w:lang w:val="es-PE"/>
        </w:rPr>
        <w:t xml:space="preserve"> de Documentos Normativos del ministerio de Salud” que permite estandarizar los elementos conceptuales, estructurales y metodológicos </w:t>
      </w:r>
      <w:r w:rsidR="00DC0CD4">
        <w:rPr>
          <w:rFonts w:ascii="Century Gothic" w:hAnsi="Century Gothic" w:cs="Arial"/>
          <w:i/>
          <w:color w:val="000000"/>
          <w:sz w:val="22"/>
          <w:szCs w:val="22"/>
          <w:lang w:val="es-PE"/>
        </w:rPr>
        <w:t>más</w:t>
      </w:r>
      <w:r>
        <w:rPr>
          <w:rFonts w:ascii="Century Gothic" w:hAnsi="Century Gothic" w:cs="Arial"/>
          <w:i/>
          <w:color w:val="000000"/>
          <w:sz w:val="22"/>
          <w:szCs w:val="22"/>
          <w:lang w:val="es-PE"/>
        </w:rPr>
        <w:t xml:space="preserve"> relevantes en el ciclo de producción normativa del </w:t>
      </w:r>
      <w:r w:rsidR="00DC0CD4">
        <w:rPr>
          <w:rFonts w:ascii="Century Gothic" w:hAnsi="Century Gothic" w:cs="Arial"/>
          <w:i/>
          <w:color w:val="000000"/>
          <w:sz w:val="22"/>
          <w:szCs w:val="22"/>
          <w:lang w:val="es-PE"/>
        </w:rPr>
        <w:t>Ministerio</w:t>
      </w:r>
      <w:r>
        <w:rPr>
          <w:rFonts w:ascii="Century Gothic" w:hAnsi="Century Gothic" w:cs="Arial"/>
          <w:i/>
          <w:color w:val="000000"/>
          <w:sz w:val="22"/>
          <w:szCs w:val="22"/>
          <w:lang w:val="es-PE"/>
        </w:rPr>
        <w:t xml:space="preserve"> de </w:t>
      </w:r>
      <w:r w:rsidR="00DC0CD4">
        <w:rPr>
          <w:rFonts w:ascii="Century Gothic" w:hAnsi="Century Gothic" w:cs="Arial"/>
          <w:i/>
          <w:color w:val="000000"/>
          <w:sz w:val="22"/>
          <w:szCs w:val="22"/>
          <w:lang w:val="es-PE"/>
        </w:rPr>
        <w:t>Salud,</w:t>
      </w:r>
      <w:r>
        <w:rPr>
          <w:rFonts w:ascii="Century Gothic" w:hAnsi="Century Gothic" w:cs="Arial"/>
          <w:i/>
          <w:color w:val="000000"/>
          <w:sz w:val="22"/>
          <w:szCs w:val="22"/>
          <w:lang w:val="es-PE"/>
        </w:rPr>
        <w:t xml:space="preserve"> </w:t>
      </w:r>
      <w:r w:rsidR="00DC0CD4">
        <w:rPr>
          <w:rFonts w:ascii="Century Gothic" w:hAnsi="Century Gothic" w:cs="Arial"/>
          <w:i/>
          <w:color w:val="000000"/>
          <w:sz w:val="22"/>
          <w:szCs w:val="22"/>
          <w:lang w:val="es-PE"/>
        </w:rPr>
        <w:t>así</w:t>
      </w:r>
      <w:r>
        <w:rPr>
          <w:rFonts w:ascii="Century Gothic" w:hAnsi="Century Gothic" w:cs="Arial"/>
          <w:i/>
          <w:color w:val="000000"/>
          <w:sz w:val="22"/>
          <w:szCs w:val="22"/>
          <w:lang w:val="es-PE"/>
        </w:rPr>
        <w:t xml:space="preserve"> como brindar a las instancias reguladoras del Ministerio de Salud una Herramienta que facilite el desarro</w:t>
      </w:r>
      <w:r w:rsidR="00DC0CD4">
        <w:rPr>
          <w:rFonts w:ascii="Century Gothic" w:hAnsi="Century Gothic" w:cs="Arial"/>
          <w:i/>
          <w:color w:val="000000"/>
          <w:sz w:val="22"/>
          <w:szCs w:val="22"/>
          <w:lang w:val="es-PE"/>
        </w:rPr>
        <w:t>llo de sus funciones normativas;</w:t>
      </w:r>
    </w:p>
    <w:p w:rsidR="00DC0CD4" w:rsidRDefault="00DC0CD4" w:rsidP="00DC0CD4">
      <w:pPr>
        <w:ind w:right="-142"/>
        <w:jc w:val="both"/>
        <w:rPr>
          <w:rFonts w:ascii="Century Gothic" w:hAnsi="Century Gothic" w:cs="Arial"/>
          <w:i/>
          <w:color w:val="000000"/>
          <w:sz w:val="22"/>
          <w:szCs w:val="22"/>
          <w:lang w:val="es-PE"/>
        </w:rPr>
      </w:pPr>
    </w:p>
    <w:p w:rsidR="00ED3703" w:rsidRDefault="00DC0CD4" w:rsidP="003C43D3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  <w:lang w:val="es-PE"/>
        </w:rPr>
      </w:pPr>
      <w:r w:rsidRPr="00BB2543">
        <w:rPr>
          <w:rFonts w:ascii="Century Gothic" w:hAnsi="Century Gothic" w:cs="Arial"/>
          <w:i/>
          <w:color w:val="000000"/>
          <w:sz w:val="22"/>
          <w:szCs w:val="22"/>
          <w:lang w:val="es-PE"/>
        </w:rPr>
        <w:t xml:space="preserve">Que, mediante </w:t>
      </w:r>
      <w:r w:rsidR="00AB407C">
        <w:rPr>
          <w:rFonts w:ascii="Century Gothic" w:hAnsi="Century Gothic" w:cs="Arial"/>
          <w:i/>
          <w:color w:val="000000"/>
          <w:sz w:val="22"/>
          <w:szCs w:val="22"/>
          <w:lang w:val="es-PE"/>
        </w:rPr>
        <w:t>INFORME N° 19-2023-GOB.REG-HVCA/DIRESA-HPT-UE, de fecha 08 de febrer</w:t>
      </w:r>
      <w:r w:rsidRPr="00BB2543">
        <w:rPr>
          <w:rFonts w:ascii="Century Gothic" w:hAnsi="Century Gothic" w:cs="Arial"/>
          <w:i/>
          <w:color w:val="000000"/>
          <w:sz w:val="22"/>
          <w:szCs w:val="22"/>
          <w:lang w:val="es-PE"/>
        </w:rPr>
        <w:t xml:space="preserve">o; la </w:t>
      </w:r>
      <w:r w:rsidR="00AB407C">
        <w:rPr>
          <w:rFonts w:ascii="Century Gothic" w:hAnsi="Century Gothic" w:cs="Arial"/>
          <w:i/>
          <w:color w:val="000000"/>
          <w:sz w:val="22"/>
          <w:szCs w:val="22"/>
          <w:lang w:val="es-PE"/>
        </w:rPr>
        <w:t>responsable de epidemiologia del Hospital de Pampas de Tayacaja, presenta el Plan Anual para la Vigilancia de IAAS para emitir resolución</w:t>
      </w:r>
      <w:r w:rsidR="00BB2543">
        <w:rPr>
          <w:rFonts w:ascii="Century Gothic" w:hAnsi="Century Gothic" w:cs="Arial"/>
          <w:i/>
          <w:color w:val="000000"/>
          <w:sz w:val="22"/>
          <w:szCs w:val="22"/>
          <w:lang w:val="es-PE"/>
        </w:rPr>
        <w:t>;</w:t>
      </w:r>
    </w:p>
    <w:p w:rsidR="00AB407C" w:rsidRDefault="00AB407C" w:rsidP="003C43D3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  <w:lang w:val="es-PE"/>
        </w:rPr>
      </w:pPr>
    </w:p>
    <w:p w:rsidR="00AB407C" w:rsidRDefault="00AB407C" w:rsidP="003C43D3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  <w:lang w:val="es-PE"/>
        </w:rPr>
      </w:pPr>
      <w:r>
        <w:rPr>
          <w:rFonts w:ascii="Century Gothic" w:hAnsi="Century Gothic" w:cs="Arial"/>
          <w:i/>
          <w:color w:val="000000"/>
          <w:sz w:val="22"/>
          <w:szCs w:val="22"/>
          <w:lang w:val="es-PE"/>
        </w:rPr>
        <w:t>Que, el mencionado Plan, tiene como finalidad de contribuir a la calidad y seguridad de la atención con eficacia y eficiencia mediante respuesta asertivas ante la demanda del usuario, en el Hospital de Pampas de Tayacaja;</w:t>
      </w:r>
    </w:p>
    <w:p w:rsidR="009051D6" w:rsidRDefault="009051D6" w:rsidP="003C43D3">
      <w:pPr>
        <w:ind w:left="-142" w:right="-142" w:firstLine="708"/>
        <w:jc w:val="both"/>
        <w:rPr>
          <w:rStyle w:val="no-style-override"/>
          <w:rFonts w:ascii="Century Gothic" w:hAnsi="Century Gothic" w:cs="Arial"/>
          <w:i/>
          <w:color w:val="000000"/>
          <w:sz w:val="22"/>
          <w:szCs w:val="22"/>
          <w:lang w:val="es-PE"/>
        </w:rPr>
      </w:pPr>
    </w:p>
    <w:p w:rsidR="009051D6" w:rsidRDefault="009051D6" w:rsidP="009051D6">
      <w:pPr>
        <w:ind w:left="-142" w:right="-142" w:firstLine="708"/>
        <w:jc w:val="both"/>
        <w:rPr>
          <w:rStyle w:val="no-style-override"/>
          <w:rFonts w:ascii="Century Gothic" w:hAnsi="Century Gothic" w:cs="Arial"/>
          <w:i/>
          <w:color w:val="000000"/>
          <w:sz w:val="22"/>
          <w:szCs w:val="22"/>
          <w:lang w:val="es-PE"/>
        </w:rPr>
      </w:pPr>
      <w:r w:rsidRPr="009051D6">
        <w:rPr>
          <w:rStyle w:val="no-style-override"/>
          <w:rFonts w:ascii="Century Gothic" w:hAnsi="Century Gothic" w:cs="Arial"/>
          <w:i/>
          <w:color w:val="000000"/>
          <w:sz w:val="22"/>
          <w:szCs w:val="22"/>
          <w:lang w:val="es-PE"/>
        </w:rPr>
        <w:t>Que, el plan citado en el considerando que antecede tiene como objetivo genera</w:t>
      </w:r>
      <w:r>
        <w:rPr>
          <w:rStyle w:val="no-style-override"/>
          <w:rFonts w:ascii="Century Gothic" w:hAnsi="Century Gothic" w:cs="Arial"/>
          <w:i/>
          <w:color w:val="000000"/>
          <w:sz w:val="22"/>
          <w:szCs w:val="22"/>
          <w:lang w:val="es-PE"/>
        </w:rPr>
        <w:t xml:space="preserve">l: </w:t>
      </w:r>
      <w:r w:rsidR="00AB407C">
        <w:rPr>
          <w:rStyle w:val="no-style-override"/>
          <w:rFonts w:ascii="Century Gothic" w:hAnsi="Century Gothic" w:cs="Arial"/>
          <w:i/>
          <w:color w:val="000000"/>
          <w:sz w:val="22"/>
          <w:szCs w:val="22"/>
          <w:lang w:val="es-PE"/>
        </w:rPr>
        <w:t xml:space="preserve">contribuir a la protección de la salud y la seguridad de pacientes y usuarios, mediante la detención, reducción y control de riesgo que se puede generar por los procesos infecciosos asociados a la atención de salud (IAAS), que puedan ocasionarnos incidentes, accidentes o eventos que pongan en riesgo la integridad o salud de los pacientes o los trabajadores manteniendo constante la tasa de incidencia global de las infecciones asociadas a la atención de salud </w:t>
      </w:r>
      <w:r w:rsidR="0040141C">
        <w:rPr>
          <w:rStyle w:val="no-style-override"/>
          <w:rFonts w:ascii="Century Gothic" w:hAnsi="Century Gothic" w:cs="Arial"/>
          <w:i/>
          <w:color w:val="000000"/>
          <w:sz w:val="22"/>
          <w:szCs w:val="22"/>
          <w:lang w:val="es-PE"/>
        </w:rPr>
        <w:t xml:space="preserve"> el 2023 en el Hospital de Pampas Tayacaja en valores por debajo de los valores referenciales a nivel nacional;</w:t>
      </w:r>
    </w:p>
    <w:p w:rsidR="009051D6" w:rsidRDefault="009051D6" w:rsidP="009051D6">
      <w:pPr>
        <w:ind w:right="-142"/>
        <w:jc w:val="both"/>
        <w:rPr>
          <w:rStyle w:val="no-style-override"/>
          <w:rFonts w:ascii="Century Gothic" w:hAnsi="Century Gothic" w:cs="Arial"/>
          <w:i/>
          <w:color w:val="000000"/>
          <w:sz w:val="22"/>
          <w:szCs w:val="22"/>
          <w:lang w:val="es-PE"/>
        </w:rPr>
      </w:pPr>
    </w:p>
    <w:p w:rsidR="0040141C" w:rsidRPr="007F29FE" w:rsidRDefault="009051D6" w:rsidP="0040141C">
      <w:pPr>
        <w:ind w:left="-142" w:right="-142" w:firstLine="708"/>
        <w:jc w:val="both"/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</w:pPr>
      <w:r>
        <w:rPr>
          <w:rStyle w:val="no-style-override"/>
          <w:rFonts w:ascii="Century Gothic" w:hAnsi="Century Gothic" w:cs="Arial"/>
          <w:i/>
          <w:color w:val="000000"/>
          <w:sz w:val="22"/>
          <w:szCs w:val="22"/>
          <w:lang w:val="es-PE"/>
        </w:rPr>
        <w:t xml:space="preserve">          </w:t>
      </w:r>
      <w:r w:rsidRPr="009051D6">
        <w:rPr>
          <w:rStyle w:val="no-style-override"/>
          <w:rFonts w:ascii="Century Gothic" w:hAnsi="Century Gothic" w:cs="Arial"/>
          <w:i/>
          <w:color w:val="000000"/>
          <w:sz w:val="22"/>
          <w:szCs w:val="22"/>
          <w:lang w:val="es-PE"/>
        </w:rPr>
        <w:t xml:space="preserve">  </w:t>
      </w:r>
      <w:r w:rsidR="0040141C" w:rsidRPr="007F29FE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Que, mediante </w:t>
      </w:r>
      <w:r w:rsidR="0040141C" w:rsidRPr="007F29FE">
        <w:rPr>
          <w:rFonts w:ascii="Century Gothic" w:eastAsia="Batang" w:hAnsi="Century Gothic" w:cs="Aparajita"/>
          <w:b/>
          <w:bCs/>
          <w:i/>
          <w:iCs/>
          <w:color w:val="000000" w:themeColor="text1"/>
          <w:sz w:val="22"/>
          <w:szCs w:val="22"/>
        </w:rPr>
        <w:t xml:space="preserve">Resolución Gerencial General Regional N° 021-2023/GOB.REG-HVCA/GGR, </w:t>
      </w:r>
      <w:r w:rsidR="0040141C" w:rsidRPr="007F29FE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se designó a partir del 06 de enero del 2023, a la </w:t>
      </w:r>
      <w:r w:rsidR="0040141C" w:rsidRPr="007F29FE">
        <w:rPr>
          <w:rFonts w:ascii="Century Gothic" w:eastAsia="Batang" w:hAnsi="Century Gothic" w:cs="Aparajita"/>
          <w:b/>
          <w:bCs/>
          <w:i/>
          <w:iCs/>
          <w:color w:val="000000" w:themeColor="text1"/>
          <w:sz w:val="22"/>
          <w:szCs w:val="22"/>
        </w:rPr>
        <w:t xml:space="preserve">CD.  AYALA DIAZ, Lourdes </w:t>
      </w:r>
      <w:proofErr w:type="spellStart"/>
      <w:r w:rsidR="0040141C" w:rsidRPr="007F29FE">
        <w:rPr>
          <w:rFonts w:ascii="Century Gothic" w:eastAsia="Batang" w:hAnsi="Century Gothic" w:cs="Aparajita"/>
          <w:b/>
          <w:bCs/>
          <w:i/>
          <w:iCs/>
          <w:color w:val="000000" w:themeColor="text1"/>
          <w:sz w:val="22"/>
          <w:szCs w:val="22"/>
        </w:rPr>
        <w:t>Analia</w:t>
      </w:r>
      <w:proofErr w:type="spellEnd"/>
      <w:r w:rsidR="0040141C" w:rsidRPr="007F29FE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 en el cargo de confianza de Directora Ejecutiva de la Dirección Ejecutiva del Hospital de Pampas de Tayacaja, en uso de las atribuciones conferidas conforme a lo establecido en el Reglamento de Organizaciones y Funciones (ROF) del Hospital de Pampas de Tayacaja;</w:t>
      </w:r>
    </w:p>
    <w:p w:rsidR="00182993" w:rsidRPr="003A2478" w:rsidRDefault="00182993" w:rsidP="00182993">
      <w:pPr>
        <w:ind w:left="-142" w:right="-142" w:firstLine="708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Pr="003A2478" w:rsidRDefault="00182993" w:rsidP="00182993">
      <w:pPr>
        <w:ind w:left="-142" w:right="-142" w:firstLine="708"/>
        <w:jc w:val="both"/>
        <w:rPr>
          <w:rFonts w:ascii="Century Gothic" w:hAnsi="Century Gothic" w:cs="Aparajita"/>
          <w:i/>
          <w:sz w:val="22"/>
          <w:szCs w:val="22"/>
        </w:rPr>
      </w:pPr>
      <w:r>
        <w:rPr>
          <w:rFonts w:ascii="Century Gothic" w:hAnsi="Century Gothic" w:cs="Aparajita"/>
          <w:i/>
          <w:sz w:val="22"/>
          <w:szCs w:val="22"/>
        </w:rPr>
        <w:lastRenderedPageBreak/>
        <w:t>Estando a lo informado y c</w:t>
      </w:r>
      <w:r w:rsidRPr="003A2478">
        <w:rPr>
          <w:rFonts w:ascii="Century Gothic" w:hAnsi="Century Gothic" w:cs="Aparajita"/>
          <w:i/>
          <w:sz w:val="22"/>
          <w:szCs w:val="22"/>
        </w:rPr>
        <w:t xml:space="preserve">on </w:t>
      </w:r>
      <w:r>
        <w:rPr>
          <w:rFonts w:ascii="Century Gothic" w:hAnsi="Century Gothic" w:cs="Aparajita"/>
          <w:i/>
          <w:sz w:val="22"/>
          <w:szCs w:val="22"/>
        </w:rPr>
        <w:t>las</w:t>
      </w:r>
      <w:r w:rsidRPr="003A2478">
        <w:rPr>
          <w:rFonts w:ascii="Century Gothic" w:hAnsi="Century Gothic" w:cs="Aparajita"/>
          <w:i/>
          <w:sz w:val="22"/>
          <w:szCs w:val="22"/>
        </w:rPr>
        <w:t xml:space="preserve"> visa</w:t>
      </w:r>
      <w:r>
        <w:rPr>
          <w:rFonts w:ascii="Century Gothic" w:hAnsi="Century Gothic" w:cs="Aparajita"/>
          <w:i/>
          <w:sz w:val="22"/>
          <w:szCs w:val="22"/>
        </w:rPr>
        <w:t xml:space="preserve">ciones, </w:t>
      </w:r>
      <w:r w:rsidRPr="003A2478">
        <w:rPr>
          <w:rFonts w:ascii="Century Gothic" w:hAnsi="Century Gothic" w:cs="Aparajita"/>
          <w:i/>
          <w:sz w:val="22"/>
          <w:szCs w:val="22"/>
        </w:rPr>
        <w:t>del Jefe de Oficina de Administración</w:t>
      </w:r>
      <w:r>
        <w:rPr>
          <w:rFonts w:ascii="Century Gothic" w:hAnsi="Century Gothic" w:cs="Aparajita"/>
          <w:i/>
          <w:sz w:val="22"/>
          <w:szCs w:val="22"/>
        </w:rPr>
        <w:t xml:space="preserve"> y de la Unidad de Asesoría Jurídica</w:t>
      </w:r>
      <w:r w:rsidRPr="003A2478">
        <w:rPr>
          <w:rFonts w:ascii="Century Gothic" w:hAnsi="Century Gothic" w:cs="Aparajita"/>
          <w:i/>
          <w:sz w:val="22"/>
          <w:szCs w:val="22"/>
        </w:rPr>
        <w:t xml:space="preserve"> del Hospital de Pampas de Tayacaja</w:t>
      </w:r>
      <w:r w:rsidR="0040141C">
        <w:rPr>
          <w:rFonts w:ascii="Century Gothic" w:hAnsi="Century Gothic" w:cs="Aparajita"/>
          <w:i/>
          <w:sz w:val="22"/>
          <w:szCs w:val="22"/>
        </w:rPr>
        <w:t>.</w:t>
      </w:r>
    </w:p>
    <w:p w:rsidR="00182993" w:rsidRDefault="00182993" w:rsidP="00947346">
      <w:pPr>
        <w:ind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  <w:r w:rsidRPr="003A2478">
        <w:rPr>
          <w:rFonts w:ascii="Century Gothic" w:hAnsi="Century Gothic" w:cs="Aparajita"/>
          <w:b/>
          <w:i/>
          <w:sz w:val="22"/>
          <w:szCs w:val="22"/>
        </w:rPr>
        <w:t>SE RESUELVE:</w:t>
      </w: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</w:p>
    <w:p w:rsidR="00182993" w:rsidRDefault="00182993" w:rsidP="00BB254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  <w:r w:rsidRPr="00947346">
        <w:rPr>
          <w:rFonts w:ascii="Century Gothic" w:hAnsi="Century Gothic" w:cs="Aparajita"/>
          <w:b/>
          <w:i/>
          <w:sz w:val="22"/>
          <w:szCs w:val="22"/>
        </w:rPr>
        <w:t>ARTÍCULO 1º</w:t>
      </w:r>
      <w:r w:rsidR="004B4C39" w:rsidRPr="00947346">
        <w:rPr>
          <w:rFonts w:ascii="Century Gothic" w:hAnsi="Century Gothic" w:cs="Aparajita"/>
          <w:b/>
          <w:i/>
          <w:sz w:val="22"/>
          <w:szCs w:val="22"/>
        </w:rPr>
        <w:t xml:space="preserve">.- </w:t>
      </w:r>
      <w:r w:rsidR="00BD4636" w:rsidRPr="00BD4636">
        <w:rPr>
          <w:rFonts w:ascii="Century Gothic" w:hAnsi="Century Gothic" w:cs="Aparajita"/>
          <w:b/>
          <w:i/>
          <w:sz w:val="22"/>
          <w:szCs w:val="22"/>
        </w:rPr>
        <w:t xml:space="preserve">APROBAR </w:t>
      </w:r>
      <w:r w:rsidR="00BD4636" w:rsidRPr="00BD4636">
        <w:rPr>
          <w:rFonts w:ascii="Century Gothic" w:hAnsi="Century Gothic" w:cs="Aparajita"/>
          <w:i/>
          <w:sz w:val="22"/>
          <w:szCs w:val="22"/>
        </w:rPr>
        <w:t xml:space="preserve">el </w:t>
      </w:r>
      <w:r w:rsidR="00BB2543">
        <w:rPr>
          <w:rFonts w:ascii="Century Gothic" w:hAnsi="Century Gothic" w:cs="Aparajita"/>
          <w:i/>
          <w:sz w:val="22"/>
          <w:szCs w:val="22"/>
        </w:rPr>
        <w:t>“</w:t>
      </w:r>
      <w:r w:rsidR="00BB2543">
        <w:rPr>
          <w:rFonts w:ascii="Century Gothic" w:hAnsi="Century Gothic" w:cs="Aparajita"/>
          <w:b/>
          <w:i/>
          <w:sz w:val="22"/>
          <w:szCs w:val="22"/>
        </w:rPr>
        <w:t xml:space="preserve">PLAN DE VIGILANCIA, PREVENCION Y CONTROL DE INFECCIONES </w:t>
      </w:r>
      <w:r w:rsidR="006612E2">
        <w:rPr>
          <w:rFonts w:ascii="Century Gothic" w:hAnsi="Century Gothic" w:cs="Aparajita"/>
          <w:b/>
          <w:i/>
          <w:sz w:val="22"/>
          <w:szCs w:val="22"/>
        </w:rPr>
        <w:t>ASOCIADA</w:t>
      </w:r>
      <w:r w:rsidR="00BB2543">
        <w:rPr>
          <w:rFonts w:ascii="Century Gothic" w:hAnsi="Century Gothic" w:cs="Aparajita"/>
          <w:b/>
          <w:i/>
          <w:sz w:val="22"/>
          <w:szCs w:val="22"/>
        </w:rPr>
        <w:t xml:space="preserve">S A LA ATENCIÓN DE SALUD” </w:t>
      </w:r>
      <w:r w:rsidR="00BB2543">
        <w:rPr>
          <w:rFonts w:ascii="Century Gothic" w:hAnsi="Century Gothic" w:cs="Aparajita"/>
          <w:i/>
          <w:sz w:val="22"/>
          <w:szCs w:val="22"/>
        </w:rPr>
        <w:t>del Hospital de Pampas Tayacaja</w:t>
      </w:r>
      <w:r w:rsidR="006612E2">
        <w:rPr>
          <w:rFonts w:ascii="Century Gothic" w:hAnsi="Century Gothic" w:cs="Aparajita"/>
          <w:b/>
          <w:i/>
          <w:sz w:val="22"/>
          <w:szCs w:val="22"/>
        </w:rPr>
        <w:t>;</w:t>
      </w:r>
    </w:p>
    <w:p w:rsidR="00BB2543" w:rsidRPr="00BB2543" w:rsidRDefault="00BB2543" w:rsidP="00BB254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  <w:r w:rsidRPr="00376774">
        <w:rPr>
          <w:rFonts w:ascii="Century Gothic" w:hAnsi="Century Gothic" w:cs="Aparajita"/>
          <w:b/>
          <w:i/>
          <w:sz w:val="22"/>
          <w:szCs w:val="22"/>
        </w:rPr>
        <w:t>ART</w:t>
      </w:r>
      <w:r w:rsidR="00C974FB">
        <w:rPr>
          <w:rFonts w:ascii="Century Gothic" w:hAnsi="Century Gothic" w:cs="Aparajita"/>
          <w:b/>
          <w:i/>
          <w:sz w:val="22"/>
          <w:szCs w:val="22"/>
        </w:rPr>
        <w:t>ÍCULO 2</w:t>
      </w:r>
      <w:r w:rsidRPr="00376774">
        <w:rPr>
          <w:rFonts w:ascii="Century Gothic" w:hAnsi="Century Gothic" w:cs="Aparajita"/>
          <w:b/>
          <w:i/>
          <w:sz w:val="22"/>
          <w:szCs w:val="22"/>
        </w:rPr>
        <w:t xml:space="preserve">º.- </w:t>
      </w:r>
      <w:r w:rsidR="004B4C39">
        <w:rPr>
          <w:rFonts w:ascii="Century Gothic" w:hAnsi="Century Gothic" w:cs="Aparajita"/>
          <w:b/>
          <w:i/>
          <w:sz w:val="22"/>
          <w:szCs w:val="22"/>
        </w:rPr>
        <w:t>ENCARGAR,</w:t>
      </w:r>
      <w:r w:rsidR="004B4C39">
        <w:rPr>
          <w:rFonts w:ascii="Century Gothic" w:hAnsi="Century Gothic" w:cs="Aparajita"/>
          <w:i/>
          <w:sz w:val="22"/>
          <w:szCs w:val="22"/>
        </w:rPr>
        <w:t xml:space="preserve"> a la oficina de administración, el seguimiento, monitoreo y disponer de las acciones administrativas correspondientes para el cumplimiento del presente</w:t>
      </w:r>
      <w:r>
        <w:rPr>
          <w:rFonts w:ascii="Century Gothic" w:hAnsi="Century Gothic" w:cs="Aparajita"/>
          <w:i/>
          <w:sz w:val="22"/>
          <w:szCs w:val="22"/>
        </w:rPr>
        <w:t>.</w:t>
      </w:r>
    </w:p>
    <w:p w:rsidR="00182993" w:rsidRPr="00376774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182993" w:rsidP="003D0E71">
      <w:pPr>
        <w:ind w:left="-142" w:right="-142"/>
        <w:jc w:val="both"/>
      </w:pPr>
      <w:r w:rsidRPr="00947346">
        <w:rPr>
          <w:rFonts w:ascii="Century Gothic" w:hAnsi="Century Gothic" w:cs="Aparajita"/>
          <w:b/>
          <w:i/>
          <w:sz w:val="22"/>
          <w:szCs w:val="22"/>
        </w:rPr>
        <w:t xml:space="preserve">ARTÍCULO </w:t>
      </w:r>
      <w:r w:rsidR="00C974FB" w:rsidRPr="00947346">
        <w:rPr>
          <w:rFonts w:ascii="Century Gothic" w:hAnsi="Century Gothic" w:cs="Aparajita"/>
          <w:b/>
          <w:i/>
          <w:sz w:val="22"/>
          <w:szCs w:val="22"/>
        </w:rPr>
        <w:t>3</w:t>
      </w:r>
      <w:r w:rsidRPr="00947346">
        <w:rPr>
          <w:rFonts w:ascii="Century Gothic" w:hAnsi="Century Gothic" w:cs="Aparajita"/>
          <w:b/>
          <w:i/>
          <w:sz w:val="22"/>
          <w:szCs w:val="22"/>
        </w:rPr>
        <w:t xml:space="preserve">°. - </w:t>
      </w:r>
      <w:r w:rsidR="004B4C39" w:rsidRPr="00947346">
        <w:rPr>
          <w:rFonts w:ascii="Century Gothic" w:hAnsi="Century Gothic" w:cs="Aparajita"/>
          <w:b/>
          <w:i/>
          <w:sz w:val="22"/>
          <w:szCs w:val="22"/>
        </w:rPr>
        <w:t>NOTIFIQUESE</w:t>
      </w:r>
      <w:r w:rsidR="004B4C39" w:rsidRPr="00947346">
        <w:rPr>
          <w:rFonts w:ascii="Century Gothic" w:hAnsi="Century Gothic" w:cs="Aparajita"/>
          <w:i/>
          <w:sz w:val="22"/>
          <w:szCs w:val="22"/>
        </w:rPr>
        <w:t xml:space="preserve"> el presente acto administrativo a los interesados y órganos competentes del</w:t>
      </w:r>
      <w:r w:rsidRPr="00947346">
        <w:rPr>
          <w:rFonts w:ascii="Century Gothic" w:hAnsi="Century Gothic" w:cs="Aparajita"/>
          <w:i/>
          <w:sz w:val="22"/>
          <w:szCs w:val="22"/>
        </w:rPr>
        <w:t xml:space="preserve"> Hospital de Pampas de Tayacaja como al interesado, para los fines de ley.</w:t>
      </w:r>
      <w:r w:rsidR="005B1BFD" w:rsidRPr="005B1BFD">
        <w:t xml:space="preserve"> </w:t>
      </w: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261795" w:rsidRPr="00261795" w:rsidRDefault="00261795" w:rsidP="00261795">
      <w:pPr>
        <w:ind w:left="578" w:right="-142" w:firstLine="862"/>
        <w:jc w:val="both"/>
        <w:rPr>
          <w:rFonts w:ascii="Century Gothic" w:hAnsi="Century Gothic" w:cs="Aparajita"/>
          <w:b/>
          <w:i/>
          <w:sz w:val="22"/>
          <w:szCs w:val="22"/>
        </w:rPr>
      </w:pPr>
      <w:r w:rsidRPr="00261795">
        <w:rPr>
          <w:rFonts w:ascii="Century Gothic" w:hAnsi="Century Gothic" w:cs="Aparajita"/>
          <w:b/>
          <w:i/>
          <w:sz w:val="22"/>
          <w:szCs w:val="22"/>
        </w:rPr>
        <w:t>REGISTRESE, COMUNIQUESE, PUBLÍQUESE Y CÚMPLA</w:t>
      </w: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5B1BFD">
      <w:pPr>
        <w:ind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5B1BFD">
      <w:pPr>
        <w:ind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5B1BFD">
      <w:pPr>
        <w:ind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5B1BFD">
      <w:pPr>
        <w:ind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5B1BFD">
      <w:pPr>
        <w:ind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Pr="005B1BFD" w:rsidRDefault="005B1BFD" w:rsidP="005B1BFD">
      <w:pPr>
        <w:ind w:right="-142"/>
        <w:jc w:val="both"/>
        <w:rPr>
          <w:rFonts w:ascii="Century Gothic" w:hAnsi="Century Gothic" w:cs="Aparajita"/>
          <w:i/>
          <w:sz w:val="20"/>
          <w:szCs w:val="22"/>
        </w:rPr>
      </w:pPr>
      <w:r w:rsidRPr="005B1BFD">
        <w:rPr>
          <w:rFonts w:ascii="Century Gothic" w:hAnsi="Century Gothic" w:cs="Aparajita"/>
          <w:i/>
          <w:sz w:val="20"/>
          <w:szCs w:val="22"/>
        </w:rPr>
        <w:t xml:space="preserve">Nuevo Reg. Documento: </w:t>
      </w:r>
      <w:r w:rsidR="00FC4EB2"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02584180</w:t>
      </w:r>
    </w:p>
    <w:p w:rsidR="005B1BFD" w:rsidRPr="005B1BFD" w:rsidRDefault="005B1BFD" w:rsidP="005B1BFD">
      <w:pPr>
        <w:rPr>
          <w:rFonts w:ascii="Century Gothic" w:hAnsi="Century Gothic" w:cs="Aparajita"/>
          <w:sz w:val="20"/>
          <w:szCs w:val="22"/>
        </w:rPr>
      </w:pPr>
    </w:p>
    <w:p w:rsidR="00182993" w:rsidRPr="005B1BFD" w:rsidRDefault="0040141C" w:rsidP="005B1BFD">
      <w:pPr>
        <w:rPr>
          <w:rFonts w:ascii="Century Gothic" w:hAnsi="Century Gothic" w:cs="Aparajita"/>
          <w:sz w:val="20"/>
          <w:szCs w:val="22"/>
        </w:rPr>
      </w:pPr>
      <w:r>
        <w:rPr>
          <w:rFonts w:ascii="Century Gothic" w:hAnsi="Century Gothic" w:cs="Aparajita"/>
          <w:sz w:val="20"/>
          <w:szCs w:val="22"/>
        </w:rPr>
        <w:t xml:space="preserve">Nuevo Reg. Expediente: </w:t>
      </w:r>
      <w:r w:rsidR="00FC4EB2"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01907261</w:t>
      </w:r>
      <w:bookmarkStart w:id="0" w:name="_GoBack"/>
      <w:bookmarkEnd w:id="0"/>
    </w:p>
    <w:sectPr w:rsidR="00182993" w:rsidRPr="005B1BFD" w:rsidSect="002A0A06">
      <w:headerReference w:type="default" r:id="rId6"/>
      <w:footerReference w:type="default" r:id="rId7"/>
      <w:pgSz w:w="11906" w:h="16838"/>
      <w:pgMar w:top="1127" w:right="1416" w:bottom="1135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3E2" w:rsidRDefault="006013E2">
      <w:r>
        <w:separator/>
      </w:r>
    </w:p>
  </w:endnote>
  <w:endnote w:type="continuationSeparator" w:id="0">
    <w:p w:rsidR="006013E2" w:rsidRDefault="0060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1C8" w:rsidRDefault="00A651C8" w:rsidP="00A651C8">
    <w:pPr>
      <w:pStyle w:val="Piedepgina"/>
    </w:pPr>
  </w:p>
  <w:p w:rsidR="00A651C8" w:rsidRPr="00A651C8" w:rsidRDefault="00A651C8" w:rsidP="00A651C8">
    <w:pPr>
      <w:pStyle w:val="Piedepgina"/>
      <w:rPr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3E2" w:rsidRDefault="006013E2">
      <w:r>
        <w:separator/>
      </w:r>
    </w:p>
  </w:footnote>
  <w:footnote w:type="continuationSeparator" w:id="0">
    <w:p w:rsidR="006013E2" w:rsidRDefault="00601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881" w:rsidRPr="00306F09" w:rsidRDefault="00067754" w:rsidP="00223F7D">
    <w:pPr>
      <w:pStyle w:val="Encabezado"/>
      <w:tabs>
        <w:tab w:val="clear" w:pos="4252"/>
        <w:tab w:val="clear" w:pos="8504"/>
        <w:tab w:val="left" w:pos="6105"/>
      </w:tabs>
      <w:jc w:val="center"/>
      <w:rPr>
        <w:i/>
      </w:rPr>
    </w:pPr>
    <w:r w:rsidRPr="00306F09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5536223C" wp14:editId="18CC2859">
          <wp:simplePos x="0" y="0"/>
          <wp:positionH relativeFrom="margin">
            <wp:posOffset>4423410</wp:posOffset>
          </wp:positionH>
          <wp:positionV relativeFrom="paragraph">
            <wp:posOffset>-71755</wp:posOffset>
          </wp:positionV>
          <wp:extent cx="1170305" cy="379730"/>
          <wp:effectExtent l="0" t="0" r="0" b="127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6F09"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6B349BEC" wp14:editId="5C4E9269">
          <wp:simplePos x="0" y="0"/>
          <wp:positionH relativeFrom="margin">
            <wp:posOffset>-158750</wp:posOffset>
          </wp:positionH>
          <wp:positionV relativeFrom="paragraph">
            <wp:posOffset>-55880</wp:posOffset>
          </wp:positionV>
          <wp:extent cx="1294130" cy="398780"/>
          <wp:effectExtent l="0" t="0" r="1270" b="1270"/>
          <wp:wrapSquare wrapText="bothSides"/>
          <wp:docPr id="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6F09">
      <w:rPr>
        <w:i/>
      </w:rPr>
      <w:t>GOBIERNO REGIONAL DE HUANCAVELICA</w:t>
    </w:r>
  </w:p>
  <w:p w:rsidR="00223F7D" w:rsidRPr="00306F09" w:rsidRDefault="00067754" w:rsidP="00223F7D">
    <w:pPr>
      <w:pStyle w:val="Encabezado"/>
      <w:tabs>
        <w:tab w:val="clear" w:pos="4252"/>
        <w:tab w:val="clear" w:pos="8504"/>
        <w:tab w:val="left" w:pos="6105"/>
      </w:tabs>
      <w:jc w:val="center"/>
      <w:rPr>
        <w:i/>
      </w:rPr>
    </w:pPr>
    <w:r w:rsidRPr="00306F09">
      <w:rPr>
        <w:i/>
      </w:rPr>
      <w:t>HOSPITAL DE PAMPAS DE TAYACAJA</w:t>
    </w:r>
  </w:p>
  <w:p w:rsidR="00590881" w:rsidRDefault="00067754" w:rsidP="00223F7D">
    <w:pPr>
      <w:pStyle w:val="Encabezado"/>
      <w:tabs>
        <w:tab w:val="clear" w:pos="4252"/>
        <w:tab w:val="clear" w:pos="8504"/>
        <w:tab w:val="left" w:pos="6105"/>
      </w:tabs>
      <w:jc w:val="righ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53B2B7" wp14:editId="1EFBF7E4">
              <wp:simplePos x="0" y="0"/>
              <wp:positionH relativeFrom="column">
                <wp:posOffset>-1053465</wp:posOffset>
              </wp:positionH>
              <wp:positionV relativeFrom="paragraph">
                <wp:posOffset>24765</wp:posOffset>
              </wp:positionV>
              <wp:extent cx="1993265" cy="417830"/>
              <wp:effectExtent l="13335" t="5715" r="12700" b="508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93265" cy="417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0881" w:rsidRPr="00B01DA5" w:rsidRDefault="006013E2" w:rsidP="001725BB">
                          <w:pPr>
                            <w:jc w:val="center"/>
                            <w:rPr>
                              <w:rFonts w:ascii="Bernard MT Condensed" w:hAnsi="Bernard MT Condensed"/>
                              <w:sz w:val="18"/>
                              <w:szCs w:val="18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53B2B7" id="Rectangle 2" o:spid="_x0000_s1026" style="position:absolute;left:0;text-align:left;margin-left:-82.95pt;margin-top:1.95pt;width:156.95pt;height: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" strokecolor="white">
              <v:textbox>
                <w:txbxContent>
                  <w:p w:rsidR="00590881" w:rsidRPr="00B01DA5" w:rsidRDefault="00BC6240" w:rsidP="001725BB">
                    <w:pPr>
                      <w:jc w:val="center"/>
                      <w:rPr>
                        <w:rFonts w:ascii="Bernard MT Condensed" w:hAnsi="Bernard MT Condensed"/>
                        <w:sz w:val="18"/>
                        <w:szCs w:val="18"/>
                        <w:lang w:val="es-ES_tradn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93"/>
    <w:rsid w:val="000013A5"/>
    <w:rsid w:val="00043550"/>
    <w:rsid w:val="00067754"/>
    <w:rsid w:val="00087734"/>
    <w:rsid w:val="00126E76"/>
    <w:rsid w:val="00144E39"/>
    <w:rsid w:val="00156314"/>
    <w:rsid w:val="00163B31"/>
    <w:rsid w:val="00182993"/>
    <w:rsid w:val="001846BE"/>
    <w:rsid w:val="002451A1"/>
    <w:rsid w:val="00247256"/>
    <w:rsid w:val="00261795"/>
    <w:rsid w:val="002C729A"/>
    <w:rsid w:val="002E288D"/>
    <w:rsid w:val="00331543"/>
    <w:rsid w:val="003C43D3"/>
    <w:rsid w:val="003D0E71"/>
    <w:rsid w:val="0040141C"/>
    <w:rsid w:val="004774DE"/>
    <w:rsid w:val="004B4C39"/>
    <w:rsid w:val="005102DA"/>
    <w:rsid w:val="0052041C"/>
    <w:rsid w:val="005535C8"/>
    <w:rsid w:val="005928E1"/>
    <w:rsid w:val="005B1BFD"/>
    <w:rsid w:val="005E45EB"/>
    <w:rsid w:val="006013E2"/>
    <w:rsid w:val="006113CC"/>
    <w:rsid w:val="00636702"/>
    <w:rsid w:val="006612E2"/>
    <w:rsid w:val="00681ACC"/>
    <w:rsid w:val="006B4F19"/>
    <w:rsid w:val="006F2016"/>
    <w:rsid w:val="00784734"/>
    <w:rsid w:val="00830494"/>
    <w:rsid w:val="008945BE"/>
    <w:rsid w:val="008E57E2"/>
    <w:rsid w:val="009051D6"/>
    <w:rsid w:val="0092135E"/>
    <w:rsid w:val="00947346"/>
    <w:rsid w:val="00961D53"/>
    <w:rsid w:val="009F5E69"/>
    <w:rsid w:val="00A2573A"/>
    <w:rsid w:val="00A651C8"/>
    <w:rsid w:val="00AB407C"/>
    <w:rsid w:val="00AD7F93"/>
    <w:rsid w:val="00B33CD5"/>
    <w:rsid w:val="00B36CEE"/>
    <w:rsid w:val="00B51588"/>
    <w:rsid w:val="00B765EB"/>
    <w:rsid w:val="00BB2543"/>
    <w:rsid w:val="00BC3C6C"/>
    <w:rsid w:val="00BC6240"/>
    <w:rsid w:val="00BD4636"/>
    <w:rsid w:val="00C27D65"/>
    <w:rsid w:val="00C34F4F"/>
    <w:rsid w:val="00C352FE"/>
    <w:rsid w:val="00C42501"/>
    <w:rsid w:val="00C62A01"/>
    <w:rsid w:val="00C974FB"/>
    <w:rsid w:val="00CD38AD"/>
    <w:rsid w:val="00CD56ED"/>
    <w:rsid w:val="00D27051"/>
    <w:rsid w:val="00D404EE"/>
    <w:rsid w:val="00DC0CD4"/>
    <w:rsid w:val="00DE059A"/>
    <w:rsid w:val="00E14076"/>
    <w:rsid w:val="00E2455B"/>
    <w:rsid w:val="00E50BD9"/>
    <w:rsid w:val="00E77D99"/>
    <w:rsid w:val="00E77F41"/>
    <w:rsid w:val="00E850CD"/>
    <w:rsid w:val="00EC50C4"/>
    <w:rsid w:val="00EC6731"/>
    <w:rsid w:val="00ED3703"/>
    <w:rsid w:val="00F02435"/>
    <w:rsid w:val="00F440EA"/>
    <w:rsid w:val="00F45C39"/>
    <w:rsid w:val="00FB3821"/>
    <w:rsid w:val="00F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11E7B"/>
  <w15:chartTrackingRefBased/>
  <w15:docId w15:val="{EAF1A222-2A9E-427C-A52B-FB57C645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829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829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-style-override">
    <w:name w:val="no-style-override"/>
    <w:basedOn w:val="Fuentedeprrafopredeter"/>
    <w:rsid w:val="00182993"/>
  </w:style>
  <w:style w:type="paragraph" w:styleId="Textodeglobo">
    <w:name w:val="Balloon Text"/>
    <w:basedOn w:val="Normal"/>
    <w:link w:val="TextodegloboCar"/>
    <w:uiPriority w:val="99"/>
    <w:semiHidden/>
    <w:unhideWhenUsed/>
    <w:rsid w:val="0018299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993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651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51C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CD56ED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ASESORIA JURIDICA</dc:creator>
  <cp:keywords/>
  <dc:description/>
  <cp:lastModifiedBy>ASESORIA JURIDICA</cp:lastModifiedBy>
  <cp:revision>3</cp:revision>
  <cp:lastPrinted>2022-03-08T17:35:00Z</cp:lastPrinted>
  <dcterms:created xsi:type="dcterms:W3CDTF">2023-03-06T16:37:00Z</dcterms:created>
  <dcterms:modified xsi:type="dcterms:W3CDTF">2023-03-07T17:23:00Z</dcterms:modified>
</cp:coreProperties>
</file>