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DE6CBA">
        <w:rPr>
          <w:rFonts w:ascii="Aparajita" w:hAnsi="Aparajita" w:cs="Aparajita"/>
          <w:b/>
          <w:i/>
          <w:sz w:val="34"/>
          <w:szCs w:val="34"/>
        </w:rPr>
        <w:t>°</w:t>
      </w:r>
      <w:r w:rsidR="00061AAB">
        <w:rPr>
          <w:rFonts w:ascii="Aparajita" w:hAnsi="Aparajita" w:cs="Aparajita"/>
          <w:b/>
          <w:i/>
          <w:sz w:val="34"/>
          <w:szCs w:val="34"/>
        </w:rPr>
        <w:t>0</w:t>
      </w:r>
      <w:r w:rsidR="00A91FC6">
        <w:rPr>
          <w:rFonts w:ascii="Aparajita" w:hAnsi="Aparajita" w:cs="Aparajita"/>
          <w:b/>
          <w:i/>
          <w:sz w:val="34"/>
          <w:szCs w:val="34"/>
        </w:rPr>
        <w:t>158</w:t>
      </w:r>
      <w:r w:rsidR="008F6B2C">
        <w:rPr>
          <w:rFonts w:ascii="Aparajita" w:hAnsi="Aparajita" w:cs="Aparajita"/>
          <w:b/>
          <w:i/>
          <w:sz w:val="34"/>
          <w:szCs w:val="34"/>
        </w:rPr>
        <w:t>-</w:t>
      </w:r>
      <w:r w:rsidR="00061AAB">
        <w:rPr>
          <w:rFonts w:ascii="Aparajita" w:hAnsi="Aparajita" w:cs="Aparajita"/>
          <w:b/>
          <w:i/>
          <w:sz w:val="34"/>
          <w:szCs w:val="34"/>
        </w:rPr>
        <w:t>2023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</w:t>
      </w:r>
      <w:r w:rsidR="00CF7879">
        <w:rPr>
          <w:rFonts w:ascii="Aparajita" w:hAnsi="Aparajita" w:cs="Aparajita"/>
          <w:b/>
          <w:i/>
          <w:sz w:val="34"/>
          <w:szCs w:val="34"/>
        </w:rPr>
        <w:t>DIRESA-</w:t>
      </w:r>
      <w:r w:rsidRPr="003A2478">
        <w:rPr>
          <w:rFonts w:ascii="Aparajita" w:hAnsi="Aparajita" w:cs="Aparajita"/>
          <w:b/>
          <w:i/>
          <w:sz w:val="34"/>
          <w:szCs w:val="34"/>
        </w:rPr>
        <w:t>HPT</w:t>
      </w:r>
      <w:r w:rsidR="00CF7879">
        <w:rPr>
          <w:rFonts w:ascii="Aparajita" w:hAnsi="Aparajita" w:cs="Aparajita"/>
          <w:b/>
          <w:i/>
          <w:sz w:val="34"/>
          <w:szCs w:val="34"/>
        </w:rPr>
        <w:t>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3A2478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D150AF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B605E8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061AAB">
        <w:rPr>
          <w:rFonts w:ascii="Century Gothic" w:hAnsi="Century Gothic" w:cs="Aparajita"/>
          <w:b/>
          <w:i/>
          <w:sz w:val="22"/>
          <w:szCs w:val="22"/>
        </w:rPr>
        <w:t>01</w:t>
      </w:r>
      <w:r w:rsidR="00252E8C"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061AAB">
        <w:rPr>
          <w:rFonts w:ascii="Century Gothic" w:hAnsi="Century Gothic" w:cs="Aparajita"/>
          <w:b/>
          <w:i/>
          <w:sz w:val="22"/>
          <w:szCs w:val="22"/>
        </w:rPr>
        <w:t>marz</w:t>
      </w:r>
      <w:r w:rsidR="00252E8C" w:rsidRPr="00D150AF">
        <w:rPr>
          <w:rFonts w:ascii="Century Gothic" w:hAnsi="Century Gothic" w:cs="Aparajita"/>
          <w:b/>
          <w:i/>
          <w:sz w:val="22"/>
          <w:szCs w:val="22"/>
        </w:rPr>
        <w:t>o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D150AF">
        <w:rPr>
          <w:rFonts w:ascii="Century Gothic" w:hAnsi="Century Gothic" w:cs="Aparajita"/>
          <w:b/>
          <w:i/>
          <w:sz w:val="22"/>
          <w:szCs w:val="22"/>
        </w:rPr>
        <w:t>de</w:t>
      </w:r>
      <w:r w:rsidR="00061AAB">
        <w:rPr>
          <w:rFonts w:ascii="Century Gothic" w:hAnsi="Century Gothic" w:cs="Aparajita"/>
          <w:b/>
          <w:i/>
          <w:sz w:val="22"/>
          <w:szCs w:val="22"/>
        </w:rPr>
        <w:t xml:space="preserve"> 2023</w:t>
      </w:r>
    </w:p>
    <w:p w:rsidR="00182993" w:rsidRPr="003A2478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Default="00782353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Memorándum</w:t>
      </w:r>
      <w:r w:rsidR="00DC7AE8">
        <w:rPr>
          <w:rFonts w:ascii="Century Gothic" w:hAnsi="Century Gothic" w:cs="Aparajita"/>
          <w:i/>
          <w:sz w:val="22"/>
          <w:szCs w:val="22"/>
        </w:rPr>
        <w:t xml:space="preserve"> N°</w:t>
      </w:r>
      <w:r w:rsidR="00D44FC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61AAB">
        <w:rPr>
          <w:rFonts w:ascii="Century Gothic" w:hAnsi="Century Gothic" w:cs="Aparajita"/>
          <w:i/>
          <w:sz w:val="22"/>
          <w:szCs w:val="22"/>
        </w:rPr>
        <w:t>00223/GOB.REG-HVCA/HPT-D,</w:t>
      </w:r>
      <w:r w:rsidR="00FD3E4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61AAB">
        <w:rPr>
          <w:rFonts w:ascii="Century Gothic" w:hAnsi="Century Gothic" w:cs="Aparajita"/>
          <w:i/>
          <w:sz w:val="22"/>
          <w:szCs w:val="22"/>
        </w:rPr>
        <w:t>de fecha 24</w:t>
      </w:r>
      <w:r w:rsidR="00EC50C4" w:rsidRPr="00C974F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252E8C">
        <w:rPr>
          <w:rFonts w:ascii="Century Gothic" w:hAnsi="Century Gothic" w:cs="Aparajita"/>
          <w:i/>
          <w:sz w:val="22"/>
          <w:szCs w:val="22"/>
        </w:rPr>
        <w:t xml:space="preserve">de 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febrero del </w:t>
      </w:r>
      <w:r w:rsidR="00061AAB">
        <w:rPr>
          <w:rFonts w:ascii="Century Gothic" w:hAnsi="Century Gothic" w:cs="Aparajita"/>
          <w:i/>
          <w:sz w:val="22"/>
          <w:szCs w:val="22"/>
        </w:rPr>
        <w:t>2023</w:t>
      </w:r>
      <w:r w:rsidRPr="00C974FB">
        <w:rPr>
          <w:rFonts w:ascii="Century Gothic" w:hAnsi="Century Gothic" w:cs="Aparajita"/>
          <w:i/>
          <w:sz w:val="22"/>
          <w:szCs w:val="22"/>
        </w:rPr>
        <w:t>,</w:t>
      </w:r>
      <w:r>
        <w:rPr>
          <w:rFonts w:ascii="Century Gothic" w:hAnsi="Century Gothic" w:cs="Aparajita"/>
          <w:i/>
          <w:sz w:val="22"/>
          <w:szCs w:val="22"/>
        </w:rPr>
        <w:t xml:space="preserve"> </w:t>
      </w:r>
      <w:r w:rsidR="00B605E8">
        <w:rPr>
          <w:rFonts w:ascii="Century Gothic" w:hAnsi="Century Gothic" w:cs="Aparajita"/>
          <w:i/>
          <w:sz w:val="22"/>
          <w:szCs w:val="22"/>
        </w:rPr>
        <w:t>en la que acompaña</w:t>
      </w:r>
      <w:r w:rsidR="00061AAB">
        <w:rPr>
          <w:rFonts w:ascii="Century Gothic" w:hAnsi="Century Gothic" w:cs="Aparajita"/>
          <w:i/>
          <w:sz w:val="22"/>
          <w:szCs w:val="22"/>
        </w:rPr>
        <w:t xml:space="preserve"> el INFORME 000033-2023/GOB.REG-HVCA/DIRESA-HPT</w:t>
      </w:r>
      <w:r w:rsidR="00B7780F">
        <w:rPr>
          <w:rFonts w:ascii="Century Gothic" w:hAnsi="Century Gothic" w:cs="Aparajita"/>
          <w:i/>
          <w:sz w:val="22"/>
          <w:szCs w:val="22"/>
        </w:rPr>
        <w:t>-AGC.</w:t>
      </w:r>
      <w:r w:rsidR="00B605E8">
        <w:rPr>
          <w:rFonts w:ascii="Century Gothic" w:hAnsi="Century Gothic" w:cs="Aparajita"/>
          <w:i/>
          <w:sz w:val="22"/>
          <w:szCs w:val="22"/>
        </w:rPr>
        <w:t xml:space="preserve"> Por lo que el </w:t>
      </w:r>
      <w:r w:rsidR="00B605E8" w:rsidRPr="00C974FB">
        <w:rPr>
          <w:rFonts w:ascii="Century Gothic" w:hAnsi="Century Gothic" w:cs="Aparajita"/>
          <w:i/>
          <w:sz w:val="22"/>
          <w:szCs w:val="22"/>
        </w:rPr>
        <w:t>Director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 Ejecutivo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del Hospit</w:t>
      </w:r>
      <w:r w:rsidR="00BA24C8">
        <w:rPr>
          <w:rFonts w:ascii="Century Gothic" w:hAnsi="Century Gothic" w:cs="Aparajita"/>
          <w:i/>
          <w:sz w:val="22"/>
          <w:szCs w:val="22"/>
        </w:rPr>
        <w:t>al de Pampas- Tayacaja, ordena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proyectar el acto resolutivo </w:t>
      </w:r>
      <w:r w:rsidR="00B7780F">
        <w:rPr>
          <w:rFonts w:ascii="Century Gothic" w:hAnsi="Century Gothic" w:cs="Aparajita"/>
          <w:i/>
          <w:sz w:val="22"/>
          <w:szCs w:val="22"/>
        </w:rPr>
        <w:t xml:space="preserve">aprobando la Conformación </w:t>
      </w:r>
      <w:r w:rsidR="00B605E8">
        <w:rPr>
          <w:rFonts w:ascii="Century Gothic" w:hAnsi="Century Gothic" w:cs="Aparajita"/>
          <w:i/>
          <w:sz w:val="22"/>
          <w:szCs w:val="22"/>
        </w:rPr>
        <w:t>del C</w:t>
      </w:r>
      <w:r>
        <w:rPr>
          <w:rFonts w:ascii="Century Gothic" w:hAnsi="Century Gothic" w:cs="Aparajita"/>
          <w:i/>
          <w:sz w:val="22"/>
          <w:szCs w:val="22"/>
        </w:rPr>
        <w:t>omité de</w:t>
      </w:r>
      <w:r w:rsidR="00DC003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FC63F1">
        <w:rPr>
          <w:rFonts w:ascii="Century Gothic" w:hAnsi="Century Gothic" w:cs="Aparajita"/>
          <w:i/>
          <w:sz w:val="22"/>
          <w:szCs w:val="22"/>
        </w:rPr>
        <w:t>Auditoria Programada del Hospital de</w:t>
      </w:r>
      <w:r w:rsidR="009B61C4">
        <w:rPr>
          <w:rFonts w:ascii="Century Gothic" w:hAnsi="Century Gothic" w:cs="Aparajita"/>
          <w:i/>
          <w:sz w:val="22"/>
          <w:szCs w:val="22"/>
        </w:rPr>
        <w:t xml:space="preserve"> Pampas</w:t>
      </w:r>
      <w:r w:rsidR="00DC003B">
        <w:rPr>
          <w:rFonts w:ascii="Century Gothic" w:hAnsi="Century Gothic" w:cs="Aparajita"/>
          <w:i/>
          <w:sz w:val="22"/>
          <w:szCs w:val="22"/>
        </w:rPr>
        <w:t xml:space="preserve"> de Tayacaja;</w:t>
      </w:r>
    </w:p>
    <w:p w:rsidR="00DC003B" w:rsidRPr="003A2478" w:rsidRDefault="00DC003B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competencia, conforme al artículo 2° de la Ley Nº 27867 – Ley Orgánica de Gobiernos Regionales, concordante con el artículo 191° de la Ley N° 27680;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Default="00B267D2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mediante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502-2016/MINSA,</w:t>
      </w:r>
      <w:r w:rsidR="00B605E8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se aprobó la NTS N° 029-MINSA/DIFESPRESC.02 “Norma Técnica de Salud de Auditoria de la Calidad de la Atención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en Salud</w:t>
      </w:r>
      <w:r>
        <w:rPr>
          <w:rFonts w:ascii="Century Gothic" w:hAnsi="Century Gothic" w:cs="Arial"/>
          <w:i/>
          <w:color w:val="000000"/>
          <w:sz w:val="22"/>
          <w:szCs w:val="22"/>
        </w:rPr>
        <w:t>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cuya finalidad es contribuir a mejorar la calidad de atención en todos los establecimientos de salud y servicios médicos de apoyo del </w:t>
      </w:r>
      <w:r w:rsidR="00B605E8">
        <w:rPr>
          <w:rFonts w:ascii="Century Gothic" w:hAnsi="Century Gothic" w:cs="Arial"/>
          <w:i/>
          <w:color w:val="000000"/>
          <w:sz w:val="22"/>
          <w:szCs w:val="22"/>
        </w:rPr>
        <w:t>Sector Salud</w:t>
      </w:r>
      <w:r>
        <w:rPr>
          <w:rFonts w:ascii="Century Gothic" w:hAnsi="Century Gothic" w:cs="Arial"/>
          <w:i/>
          <w:color w:val="000000"/>
          <w:sz w:val="22"/>
          <w:szCs w:val="22"/>
        </w:rPr>
        <w:t>.</w:t>
      </w:r>
      <w:r w:rsidR="00B605E8">
        <w:rPr>
          <w:rFonts w:ascii="Century Gothic" w:hAnsi="Century Gothic" w:cs="Arial"/>
          <w:i/>
          <w:color w:val="000000"/>
          <w:sz w:val="22"/>
          <w:szCs w:val="22"/>
        </w:rPr>
        <w:t xml:space="preserve"> Asimismo, deroga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la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474-2005/MI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>NSA</w:t>
      </w:r>
      <w:r>
        <w:rPr>
          <w:rFonts w:ascii="Century Gothic" w:hAnsi="Century Gothic" w:cs="Arial"/>
          <w:i/>
          <w:color w:val="000000"/>
          <w:sz w:val="22"/>
          <w:szCs w:val="22"/>
        </w:rPr>
        <w:t>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que aprobó la NTS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029-MINSA/DGSP-V.01</w:t>
      </w:r>
      <w:proofErr w:type="gramStart"/>
      <w:r>
        <w:rPr>
          <w:rFonts w:ascii="Century Gothic" w:hAnsi="Century Gothic" w:cs="Arial"/>
          <w:i/>
          <w:color w:val="000000"/>
          <w:sz w:val="22"/>
          <w:szCs w:val="22"/>
        </w:rPr>
        <w:t>;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”Norma</w:t>
      </w:r>
      <w:proofErr w:type="gramEnd"/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Técnica de Auditoria de la Calidad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de Atención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en Salud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“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y la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889-2007/MINSA,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que Aprobó la Directiva Administrativa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123-MINSA/DGPS-V.01 “Directiva Administrativa para el proceso de Auditoria de Caso de la Calidad de la atención en Salud “;</w:t>
      </w:r>
    </w:p>
    <w:p w:rsidR="00B23F7D" w:rsidRDefault="00B23F7D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B23F7D" w:rsidRDefault="00B23F7D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</w:t>
      </w:r>
      <w:r w:rsidR="00393BF2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el numeral 5.13 de la NTS N°029-MINSA/DIGEPPRES-V.02” Norma Técnica de Salud de Auditoria de la Calidad de la Atención en Salud señala que</w:t>
      </w:r>
      <w:proofErr w:type="gramStart"/>
      <w:r w:rsidR="001E212E">
        <w:rPr>
          <w:rFonts w:ascii="Century Gothic" w:hAnsi="Century Gothic" w:cs="Arial"/>
          <w:i/>
          <w:color w:val="000000"/>
          <w:sz w:val="22"/>
          <w:szCs w:val="22"/>
        </w:rPr>
        <w:t>:</w:t>
      </w:r>
      <w:r w:rsidR="00B605E8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”Los</w:t>
      </w:r>
      <w:proofErr w:type="gramEnd"/>
      <w:r w:rsidR="001E212E">
        <w:rPr>
          <w:rFonts w:ascii="Century Gothic" w:hAnsi="Century Gothic" w:cs="Arial"/>
          <w:i/>
          <w:color w:val="000000"/>
          <w:sz w:val="22"/>
          <w:szCs w:val="22"/>
        </w:rPr>
        <w:t xml:space="preserve"> establecimientos de salud deben constituir el Comité de Auditoria en Salud y el Comité de Auditoria Medica, como unidades funcionales permanentes, los cuales mantengan coordinación con la unidad orgánica responsable de la gestión de la Calidad en Salud del establecimiento de salud, o del servicio médico de apoyo o del haga sus veces;</w:t>
      </w:r>
    </w:p>
    <w:p w:rsidR="008E5716" w:rsidRDefault="008E5716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DC003B" w:rsidRDefault="001E212E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el numeral IV del título Preliminar de la ley N°26842, Ley General de Salud, establece que es una responsabilidad del Estado promover las condiciones que garanticen una adecuada cobertura de prestación de salud a la población, en términos socialmente aceptables de seguridad, oportunidad y calidad;</w:t>
      </w:r>
    </w:p>
    <w:p w:rsidR="00BA24C8" w:rsidRDefault="00BA24C8" w:rsidP="00BA24C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Pr="00BA24C8" w:rsidRDefault="00277A28" w:rsidP="00C50389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1E212E"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mediante </w:t>
      </w:r>
      <w:r w:rsidR="00B7780F" w:rsidRPr="00B7780F">
        <w:rPr>
          <w:rFonts w:ascii="Century Gothic" w:eastAsia="Batang" w:hAnsi="Century Gothic" w:cs="Aparajita"/>
          <w:i/>
          <w:sz w:val="22"/>
          <w:szCs w:val="22"/>
        </w:rPr>
        <w:t>INFORME 000033-2023/GOB.REG-HVCA/DIRESA-HPT</w:t>
      </w:r>
      <w:r w:rsidR="00B7780F">
        <w:rPr>
          <w:rFonts w:ascii="Century Gothic" w:eastAsia="Batang" w:hAnsi="Century Gothic" w:cs="Aparajita"/>
          <w:i/>
          <w:sz w:val="22"/>
          <w:szCs w:val="22"/>
        </w:rPr>
        <w:t>-AGC, de fecha 24 de febrero de 2023, la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 Unidad de Gestión de la Calidad solicita</w:t>
      </w:r>
      <w:r w:rsidR="00C50389">
        <w:rPr>
          <w:rFonts w:ascii="Century Gothic" w:eastAsia="Batang" w:hAnsi="Century Gothic" w:cs="Aparajita"/>
          <w:i/>
          <w:sz w:val="22"/>
          <w:szCs w:val="22"/>
        </w:rPr>
        <w:t xml:space="preserve"> a Dirección;</w:t>
      </w:r>
      <w:r w:rsidR="00BA24C8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B7780F">
        <w:rPr>
          <w:rFonts w:ascii="Century Gothic" w:eastAsia="Batang" w:hAnsi="Century Gothic" w:cs="Aparajita"/>
          <w:i/>
          <w:sz w:val="22"/>
          <w:szCs w:val="22"/>
        </w:rPr>
        <w:t>dar aprobación con acto resolutivo a la conformación del comité de auditoría programada del Hospital de Pampas de Tayacaja</w:t>
      </w:r>
      <w:r w:rsidR="00A6109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BA24C8" w:rsidRPr="00BA24C8" w:rsidRDefault="00BA24C8" w:rsidP="00BA24C8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B7780F" w:rsidRPr="007F29FE" w:rsidRDefault="00B7780F" w:rsidP="00B7780F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lastRenderedPageBreak/>
        <w:t xml:space="preserve">Que, mediante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proofErr w:type="spellStart"/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B7780F" w:rsidRPr="003A2478" w:rsidRDefault="00B7780F" w:rsidP="00B7780F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Estando a lo informado y c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on </w:t>
      </w:r>
      <w:r>
        <w:rPr>
          <w:rFonts w:ascii="Century Gothic" w:hAnsi="Century Gothic" w:cs="Aparajita"/>
          <w:i/>
          <w:sz w:val="22"/>
          <w:szCs w:val="22"/>
        </w:rPr>
        <w:t>las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</w:t>
      </w:r>
      <w:proofErr w:type="spellStart"/>
      <w:r w:rsidRPr="003A2478">
        <w:rPr>
          <w:rFonts w:ascii="Century Gothic" w:hAnsi="Century Gothic" w:cs="Aparajita"/>
          <w:i/>
          <w:sz w:val="22"/>
          <w:szCs w:val="22"/>
        </w:rPr>
        <w:t>visa</w:t>
      </w:r>
      <w:r>
        <w:rPr>
          <w:rFonts w:ascii="Century Gothic" w:hAnsi="Century Gothic" w:cs="Aparajita"/>
          <w:i/>
          <w:sz w:val="22"/>
          <w:szCs w:val="22"/>
        </w:rPr>
        <w:t>ciones</w:t>
      </w:r>
      <w:proofErr w:type="spellEnd"/>
      <w:r>
        <w:rPr>
          <w:rFonts w:ascii="Century Gothic" w:hAnsi="Century Gothic" w:cs="Aparajita"/>
          <w:i/>
          <w:sz w:val="22"/>
          <w:szCs w:val="22"/>
        </w:rPr>
        <w:t xml:space="preserve">, </w:t>
      </w:r>
      <w:r w:rsidRPr="003A2478">
        <w:rPr>
          <w:rFonts w:ascii="Century Gothic" w:hAnsi="Century Gothic" w:cs="Aparajita"/>
          <w:i/>
          <w:sz w:val="22"/>
          <w:szCs w:val="22"/>
        </w:rPr>
        <w:t>del Jefe de Oficina de Administración</w:t>
      </w:r>
      <w:r>
        <w:rPr>
          <w:rFonts w:ascii="Century Gothic" w:hAnsi="Century Gothic" w:cs="Aparajita"/>
          <w:i/>
          <w:sz w:val="22"/>
          <w:szCs w:val="22"/>
        </w:rPr>
        <w:t xml:space="preserve"> y de la Unidad de Asesoría Jurídica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>
        <w:rPr>
          <w:rFonts w:ascii="Century Gothic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A60ED6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>
        <w:rPr>
          <w:rFonts w:ascii="Century Gothic" w:hAnsi="Century Gothic" w:cs="Aparajita"/>
          <w:b/>
          <w:i/>
          <w:sz w:val="22"/>
          <w:szCs w:val="22"/>
        </w:rPr>
        <w:t>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º</w:t>
      </w:r>
      <w:r w:rsidR="00925F36">
        <w:rPr>
          <w:rFonts w:ascii="Century Gothic" w:hAnsi="Century Gothic" w:cs="Aparajita"/>
          <w:b/>
          <w:i/>
          <w:sz w:val="22"/>
          <w:szCs w:val="22"/>
        </w:rPr>
        <w:t xml:space="preserve">.- APROBAR </w:t>
      </w:r>
      <w:r w:rsidR="00C50389">
        <w:rPr>
          <w:rFonts w:ascii="Century Gothic" w:hAnsi="Century Gothic" w:cs="Aparajita"/>
          <w:i/>
          <w:sz w:val="22"/>
          <w:szCs w:val="22"/>
        </w:rPr>
        <w:t xml:space="preserve">la conformación </w:t>
      </w:r>
      <w:r w:rsidR="00426FE3">
        <w:rPr>
          <w:rFonts w:ascii="Century Gothic" w:hAnsi="Century Gothic" w:cs="Aparajita"/>
          <w:i/>
          <w:sz w:val="22"/>
          <w:szCs w:val="22"/>
        </w:rPr>
        <w:t xml:space="preserve">del </w:t>
      </w:r>
      <w:r w:rsidR="00716901">
        <w:rPr>
          <w:rFonts w:ascii="Century Gothic" w:hAnsi="Century Gothic" w:cs="Aparajita"/>
          <w:b/>
          <w:i/>
          <w:sz w:val="22"/>
          <w:szCs w:val="22"/>
        </w:rPr>
        <w:t xml:space="preserve">COMITÉ </w:t>
      </w:r>
      <w:r w:rsidR="00FC63F1">
        <w:rPr>
          <w:rFonts w:ascii="Century Gothic" w:hAnsi="Century Gothic" w:cs="Aparajita"/>
          <w:b/>
          <w:i/>
          <w:sz w:val="22"/>
          <w:szCs w:val="22"/>
        </w:rPr>
        <w:t xml:space="preserve">DE AUDITORIA </w:t>
      </w:r>
      <w:r w:rsidR="003066E1">
        <w:rPr>
          <w:rFonts w:ascii="Century Gothic" w:hAnsi="Century Gothic" w:cs="Aparajita"/>
          <w:b/>
          <w:i/>
          <w:sz w:val="22"/>
          <w:szCs w:val="22"/>
        </w:rPr>
        <w:t>PROGRAMADA DE</w:t>
      </w:r>
      <w:r w:rsidR="00B7780F">
        <w:rPr>
          <w:rFonts w:ascii="Century Gothic" w:hAnsi="Century Gothic" w:cs="Aparajita"/>
          <w:b/>
          <w:i/>
          <w:sz w:val="22"/>
          <w:szCs w:val="22"/>
        </w:rPr>
        <w:t>L HOSPITAL DE PAMPAS DE TAYACAJA</w:t>
      </w:r>
      <w:r w:rsidR="00BA24C8">
        <w:rPr>
          <w:rFonts w:ascii="Century Gothic" w:hAnsi="Century Gothic" w:cs="Aparajita"/>
          <w:i/>
          <w:sz w:val="22"/>
          <w:szCs w:val="22"/>
        </w:rPr>
        <w:t>, la misma que estará integrada por los siguientes miembros.</w:t>
      </w:r>
    </w:p>
    <w:tbl>
      <w:tblPr>
        <w:tblStyle w:val="Tablaconcuadrcula"/>
        <w:tblpPr w:leftFromText="180" w:rightFromText="180" w:vertAnchor="text" w:horzAnchor="margin" w:tblpX="-62" w:tblpY="162"/>
        <w:tblW w:w="8505" w:type="dxa"/>
        <w:tblLook w:val="04A0" w:firstRow="1" w:lastRow="0" w:firstColumn="1" w:lastColumn="0" w:noHBand="0" w:noVBand="1"/>
      </w:tblPr>
      <w:tblGrid>
        <w:gridCol w:w="6379"/>
        <w:gridCol w:w="2126"/>
      </w:tblGrid>
      <w:tr w:rsidR="00925F36" w:rsidRPr="00FC63F1" w:rsidTr="00B605E8">
        <w:tc>
          <w:tcPr>
            <w:tcW w:w="6379" w:type="dxa"/>
            <w:shd w:val="clear" w:color="auto" w:fill="FFFFFF" w:themeFill="background1"/>
          </w:tcPr>
          <w:p w:rsidR="00925F36" w:rsidRPr="00FC63F1" w:rsidRDefault="00925F36" w:rsidP="00B605E8">
            <w:pPr>
              <w:shd w:val="clear" w:color="auto" w:fill="FFFFFF" w:themeFill="background1"/>
              <w:ind w:right="-142"/>
              <w:jc w:val="center"/>
              <w:rPr>
                <w:rFonts w:ascii="Century Gothic" w:hAnsi="Century Gothic" w:cs="Aparajita"/>
                <w:b/>
                <w:i/>
                <w:sz w:val="22"/>
                <w:szCs w:val="22"/>
              </w:rPr>
            </w:pPr>
            <w:r w:rsidRPr="00FC63F1">
              <w:rPr>
                <w:rFonts w:ascii="Century Gothic" w:hAnsi="Century Gothic" w:cs="Aparajita"/>
                <w:b/>
                <w:i/>
                <w:sz w:val="22"/>
                <w:szCs w:val="22"/>
              </w:rPr>
              <w:t>NOMBRES Y APELLIDOS</w:t>
            </w:r>
          </w:p>
        </w:tc>
        <w:tc>
          <w:tcPr>
            <w:tcW w:w="2126" w:type="dxa"/>
            <w:shd w:val="clear" w:color="auto" w:fill="FFFFFF" w:themeFill="background1"/>
          </w:tcPr>
          <w:p w:rsidR="00925F36" w:rsidRPr="00FC63F1" w:rsidRDefault="00716901" w:rsidP="00B605E8">
            <w:pPr>
              <w:shd w:val="clear" w:color="auto" w:fill="FFFFFF" w:themeFill="background1"/>
              <w:ind w:right="-142"/>
              <w:jc w:val="center"/>
              <w:rPr>
                <w:rFonts w:ascii="Century Gothic" w:hAnsi="Century Gothic" w:cs="Aparajita"/>
                <w:b/>
                <w:i/>
                <w:sz w:val="22"/>
                <w:szCs w:val="22"/>
              </w:rPr>
            </w:pPr>
            <w:r w:rsidRPr="00FC63F1">
              <w:rPr>
                <w:rFonts w:ascii="Century Gothic" w:hAnsi="Century Gothic" w:cs="Aparajita"/>
                <w:b/>
                <w:i/>
                <w:sz w:val="22"/>
                <w:szCs w:val="22"/>
              </w:rPr>
              <w:t>CARGO</w:t>
            </w:r>
          </w:p>
        </w:tc>
      </w:tr>
      <w:tr w:rsidR="00925F36" w:rsidRPr="00FC63F1" w:rsidTr="00B605E8">
        <w:tc>
          <w:tcPr>
            <w:tcW w:w="6379" w:type="dxa"/>
            <w:shd w:val="clear" w:color="auto" w:fill="FFFFFF" w:themeFill="background1"/>
          </w:tcPr>
          <w:p w:rsidR="00925F36" w:rsidRPr="00FC63F1" w:rsidRDefault="005D722A" w:rsidP="00B605E8">
            <w:pPr>
              <w:shd w:val="clear" w:color="auto" w:fill="FFFFFF" w:themeFill="background1"/>
              <w:ind w:right="-142"/>
              <w:jc w:val="both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M.C. JESUS NILO CALSIN CHURATA</w:t>
            </w:r>
          </w:p>
        </w:tc>
        <w:tc>
          <w:tcPr>
            <w:tcW w:w="2126" w:type="dxa"/>
            <w:shd w:val="clear" w:color="auto" w:fill="FFFFFF" w:themeFill="background1"/>
          </w:tcPr>
          <w:p w:rsidR="00925F36" w:rsidRPr="00FC63F1" w:rsidRDefault="003066E1" w:rsidP="00B605E8">
            <w:pPr>
              <w:shd w:val="clear" w:color="auto" w:fill="FFFFFF" w:themeFill="background1"/>
              <w:ind w:right="-142"/>
              <w:jc w:val="center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COORDINADOR</w:t>
            </w:r>
          </w:p>
        </w:tc>
      </w:tr>
      <w:tr w:rsidR="00782353" w:rsidRPr="00FC63F1" w:rsidTr="00B605E8">
        <w:tc>
          <w:tcPr>
            <w:tcW w:w="6379" w:type="dxa"/>
            <w:shd w:val="clear" w:color="auto" w:fill="FFFFFF" w:themeFill="background1"/>
          </w:tcPr>
          <w:p w:rsidR="00782353" w:rsidRPr="00A91FC6" w:rsidRDefault="005D722A" w:rsidP="00B605E8">
            <w:pPr>
              <w:shd w:val="clear" w:color="auto" w:fill="FFFFFF" w:themeFill="background1"/>
              <w:ind w:right="-142"/>
              <w:jc w:val="both"/>
              <w:rPr>
                <w:rFonts w:ascii="Century Gothic" w:hAnsi="Century Gothic" w:cs="Aparajita"/>
                <w:i/>
                <w:sz w:val="20"/>
                <w:szCs w:val="22"/>
                <w:lang w:val="en-US"/>
              </w:rPr>
            </w:pPr>
            <w:r w:rsidRPr="00A91FC6">
              <w:rPr>
                <w:rFonts w:ascii="Century Gothic" w:hAnsi="Century Gothic" w:cs="Aparajita"/>
                <w:i/>
                <w:sz w:val="20"/>
                <w:szCs w:val="22"/>
                <w:lang w:val="en-US"/>
              </w:rPr>
              <w:t>LIC. ENF. WILDER BARZOLA MEZA</w:t>
            </w:r>
          </w:p>
        </w:tc>
        <w:tc>
          <w:tcPr>
            <w:tcW w:w="2126" w:type="dxa"/>
            <w:shd w:val="clear" w:color="auto" w:fill="FFFFFF" w:themeFill="background1"/>
          </w:tcPr>
          <w:p w:rsidR="00782353" w:rsidRPr="003066E1" w:rsidRDefault="003066E1" w:rsidP="00B605E8">
            <w:pPr>
              <w:shd w:val="clear" w:color="auto" w:fill="FFFFFF" w:themeFill="background1"/>
              <w:jc w:val="center"/>
              <w:rPr>
                <w:rFonts w:ascii="Century Gothic" w:hAnsi="Century Gothic" w:cs="Aparajita"/>
                <w:i/>
                <w:sz w:val="20"/>
                <w:szCs w:val="22"/>
              </w:rPr>
            </w:pPr>
            <w:r w:rsidRPr="003066E1">
              <w:rPr>
                <w:rFonts w:ascii="Century Gothic" w:hAnsi="Century Gothic" w:cs="Aparajita"/>
                <w:i/>
                <w:sz w:val="20"/>
                <w:szCs w:val="22"/>
              </w:rPr>
              <w:t>SECRETARIO</w:t>
            </w:r>
          </w:p>
        </w:tc>
      </w:tr>
      <w:tr w:rsidR="00782353" w:rsidTr="00B605E8">
        <w:tc>
          <w:tcPr>
            <w:tcW w:w="6379" w:type="dxa"/>
            <w:shd w:val="clear" w:color="auto" w:fill="FFFFFF" w:themeFill="background1"/>
          </w:tcPr>
          <w:p w:rsidR="00782353" w:rsidRPr="00FC63F1" w:rsidRDefault="005D722A" w:rsidP="00B605E8">
            <w:pPr>
              <w:shd w:val="clear" w:color="auto" w:fill="FFFFFF" w:themeFill="background1"/>
              <w:ind w:right="-142"/>
              <w:jc w:val="both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M.C. ADRIAN EDMUNDO PALOMINO IBARRA</w:t>
            </w:r>
          </w:p>
        </w:tc>
        <w:tc>
          <w:tcPr>
            <w:tcW w:w="2126" w:type="dxa"/>
            <w:shd w:val="clear" w:color="auto" w:fill="FFFFFF" w:themeFill="background1"/>
          </w:tcPr>
          <w:p w:rsidR="00782353" w:rsidRPr="003066E1" w:rsidRDefault="005D722A" w:rsidP="00B605E8">
            <w:pPr>
              <w:shd w:val="clear" w:color="auto" w:fill="FFFFFF" w:themeFill="background1"/>
              <w:jc w:val="center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MIEMBRO</w:t>
            </w:r>
          </w:p>
        </w:tc>
      </w:tr>
      <w:tr w:rsidR="003066E1" w:rsidTr="00B605E8">
        <w:tc>
          <w:tcPr>
            <w:tcW w:w="6379" w:type="dxa"/>
            <w:shd w:val="clear" w:color="auto" w:fill="FFFFFF" w:themeFill="background1"/>
          </w:tcPr>
          <w:p w:rsidR="003066E1" w:rsidRDefault="005D722A" w:rsidP="00B605E8">
            <w:pPr>
              <w:shd w:val="clear" w:color="auto" w:fill="FFFFFF" w:themeFill="background1"/>
              <w:ind w:right="-142"/>
              <w:jc w:val="both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LIC. ENF. JERSONN BRAVO DUEÑAS</w:t>
            </w:r>
          </w:p>
        </w:tc>
        <w:tc>
          <w:tcPr>
            <w:tcW w:w="2126" w:type="dxa"/>
            <w:shd w:val="clear" w:color="auto" w:fill="FFFFFF" w:themeFill="background1"/>
          </w:tcPr>
          <w:p w:rsidR="003066E1" w:rsidRPr="003066E1" w:rsidRDefault="005D722A" w:rsidP="00B605E8">
            <w:pPr>
              <w:jc w:val="center"/>
              <w:rPr>
                <w:rFonts w:ascii="Century Gothic" w:hAnsi="Century Gothic" w:cs="Aparajita"/>
                <w:i/>
                <w:sz w:val="20"/>
                <w:szCs w:val="22"/>
              </w:rPr>
            </w:pPr>
            <w:r>
              <w:rPr>
                <w:rFonts w:ascii="Century Gothic" w:hAnsi="Century Gothic" w:cs="Aparajita"/>
                <w:i/>
                <w:sz w:val="20"/>
                <w:szCs w:val="22"/>
              </w:rPr>
              <w:t>MIEMBRO</w:t>
            </w:r>
          </w:p>
        </w:tc>
      </w:tr>
    </w:tbl>
    <w:p w:rsidR="00BA24C8" w:rsidRDefault="00BA24C8" w:rsidP="00FC63F1">
      <w:pPr>
        <w:shd w:val="clear" w:color="auto" w:fill="FFFFFF" w:themeFill="background1"/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BA24C8" w:rsidRDefault="00FC63F1" w:rsidP="00A60ED6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ARTÍCULO 2º.- DISPONER</w:t>
      </w:r>
      <w:r w:rsidRPr="00FC63F1">
        <w:rPr>
          <w:rFonts w:ascii="Century Gothic" w:hAnsi="Century Gothic" w:cs="Aparajita"/>
          <w:i/>
          <w:sz w:val="22"/>
          <w:szCs w:val="22"/>
        </w:rPr>
        <w:t>,</w:t>
      </w:r>
      <w:r>
        <w:rPr>
          <w:rFonts w:ascii="Century Gothic" w:hAnsi="Century Gothic" w:cs="Aparajita"/>
          <w:i/>
          <w:sz w:val="22"/>
          <w:szCs w:val="22"/>
        </w:rPr>
        <w:t xml:space="preserve"> que los citados miembros del comité, cumplan con </w:t>
      </w:r>
      <w:r w:rsidR="005D722A">
        <w:rPr>
          <w:rFonts w:ascii="Century Gothic" w:hAnsi="Century Gothic" w:cs="Aparajita"/>
          <w:i/>
          <w:sz w:val="22"/>
          <w:szCs w:val="22"/>
        </w:rPr>
        <w:t xml:space="preserve">realizar </w:t>
      </w:r>
      <w:r>
        <w:rPr>
          <w:rFonts w:ascii="Century Gothic" w:hAnsi="Century Gothic" w:cs="Aparajita"/>
          <w:i/>
          <w:sz w:val="22"/>
          <w:szCs w:val="22"/>
        </w:rPr>
        <w:t xml:space="preserve">sus funciones para el </w:t>
      </w:r>
      <w:r w:rsidR="005D722A">
        <w:rPr>
          <w:rFonts w:ascii="Century Gothic" w:hAnsi="Century Gothic" w:cs="Aparajita"/>
          <w:i/>
          <w:sz w:val="22"/>
          <w:szCs w:val="22"/>
        </w:rPr>
        <w:t>desarrollo y funcionamiento del</w:t>
      </w:r>
      <w:r>
        <w:rPr>
          <w:rFonts w:ascii="Century Gothic" w:hAnsi="Century Gothic" w:cs="Aparajita"/>
          <w:i/>
          <w:sz w:val="22"/>
          <w:szCs w:val="22"/>
        </w:rPr>
        <w:t xml:space="preserve"> Comité de Auditoria del Hos</w:t>
      </w:r>
      <w:r w:rsidR="005D722A">
        <w:rPr>
          <w:rFonts w:ascii="Century Gothic" w:hAnsi="Century Gothic" w:cs="Aparajita"/>
          <w:i/>
          <w:sz w:val="22"/>
          <w:szCs w:val="22"/>
        </w:rPr>
        <w:t>pital de Pampas de Tayacaja.</w:t>
      </w:r>
    </w:p>
    <w:p w:rsidR="00182993" w:rsidRDefault="00182993" w:rsidP="00182993">
      <w:p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A259FE">
        <w:rPr>
          <w:rFonts w:ascii="Century Gothic" w:hAnsi="Century Gothic" w:cs="Aparajita"/>
          <w:b/>
          <w:i/>
          <w:sz w:val="22"/>
          <w:szCs w:val="22"/>
        </w:rPr>
        <w:t>ÍCULO 3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>
        <w:rPr>
          <w:rFonts w:ascii="Century Gothic" w:hAnsi="Century Gothic" w:cs="Aparajita"/>
          <w:b/>
          <w:i/>
          <w:sz w:val="22"/>
          <w:szCs w:val="22"/>
        </w:rPr>
        <w:t>DEJAR SIN EFECTO,</w:t>
      </w:r>
      <w:r>
        <w:rPr>
          <w:rFonts w:ascii="Century Gothic" w:hAnsi="Century Gothic" w:cs="Aparajita"/>
          <w:i/>
          <w:sz w:val="22"/>
          <w:szCs w:val="22"/>
        </w:rPr>
        <w:t xml:space="preserve"> cualquier acto administrativo de igual o menor jerarquía que se oponga a la presente Resolución.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 w:rsidR="00A259FE">
        <w:rPr>
          <w:rFonts w:ascii="Century Gothic" w:hAnsi="Century Gothic" w:cs="Aparajita"/>
          <w:b/>
          <w:i/>
          <w:sz w:val="22"/>
          <w:szCs w:val="22"/>
        </w:rPr>
        <w:t>4</w:t>
      </w:r>
      <w:r w:rsidRPr="00333212">
        <w:rPr>
          <w:rFonts w:ascii="Century Gothic" w:hAnsi="Century Gothic" w:cs="Aparajita"/>
          <w:b/>
          <w:i/>
          <w:sz w:val="22"/>
          <w:szCs w:val="22"/>
        </w:rPr>
        <w:t>°.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 -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NOTIFICAR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la presente Resolución a los órganos competentes del Hospital de Pampas de Tayacaja</w:t>
      </w:r>
      <w:r>
        <w:rPr>
          <w:rFonts w:ascii="Century Gothic" w:hAnsi="Century Gothic" w:cs="Aparajita"/>
          <w:i/>
          <w:sz w:val="22"/>
          <w:szCs w:val="22"/>
        </w:rPr>
        <w:t xml:space="preserve"> como al </w:t>
      </w:r>
      <w:r w:rsidRPr="003A2478">
        <w:rPr>
          <w:rFonts w:ascii="Century Gothic" w:hAnsi="Century Gothic" w:cs="Aparajita"/>
          <w:i/>
          <w:sz w:val="22"/>
          <w:szCs w:val="22"/>
        </w:rPr>
        <w:t>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Y CÚMPLASE</w:t>
      </w:r>
    </w:p>
    <w:p w:rsidR="00B605E8" w:rsidRDefault="00B605E8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</w:p>
    <w:p w:rsidR="00B605E8" w:rsidRDefault="00B605E8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</w:p>
    <w:p w:rsidR="00B605E8" w:rsidRDefault="00B605E8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bookmarkStart w:id="0" w:name="_GoBack"/>
      <w:bookmarkEnd w:id="0"/>
    </w:p>
    <w:p w:rsidR="00A6109B" w:rsidRDefault="00A6109B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Pr="00175E68" w:rsidRDefault="00182993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354C74" w:rsidRPr="00D150AF" w:rsidRDefault="00182993" w:rsidP="00D150AF">
      <w:pPr>
        <w:ind w:left="-142" w:right="-142"/>
        <w:jc w:val="both"/>
        <w:rPr>
          <w:rFonts w:ascii="Arial" w:hAnsi="Arial" w:cs="Arial"/>
          <w:sz w:val="18"/>
          <w:szCs w:val="14"/>
        </w:rPr>
      </w:pPr>
      <w:r w:rsidRPr="00D150AF">
        <w:rPr>
          <w:rFonts w:ascii="Arial" w:hAnsi="Arial" w:cs="Arial"/>
          <w:sz w:val="18"/>
          <w:szCs w:val="14"/>
        </w:rPr>
        <w:t>Reg. Documento</w:t>
      </w:r>
      <w:r w:rsidR="00782353">
        <w:t>:</w:t>
      </w:r>
      <w:r w:rsidR="00782353" w:rsidRPr="00782353">
        <w:t xml:space="preserve"> </w:t>
      </w:r>
      <w:r w:rsidR="00A91FC6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02581106</w:t>
      </w:r>
    </w:p>
    <w:p w:rsidR="00182993" w:rsidRPr="00782353" w:rsidRDefault="00782353" w:rsidP="009B61C4">
      <w:pPr>
        <w:ind w:left="-142" w:right="-142"/>
        <w:jc w:val="bot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 xml:space="preserve">Reg. Expediente: </w:t>
      </w:r>
      <w:r w:rsidR="00CD38AD" w:rsidRPr="00782353">
        <w:rPr>
          <w:rFonts w:ascii="Arial" w:hAnsi="Arial" w:cs="Arial"/>
          <w:sz w:val="18"/>
          <w:szCs w:val="14"/>
        </w:rPr>
        <w:t xml:space="preserve">  </w:t>
      </w:r>
      <w:r w:rsidR="00A91FC6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01905042</w:t>
      </w:r>
      <w:r w:rsidR="00CD38AD" w:rsidRPr="00782353">
        <w:rPr>
          <w:rFonts w:ascii="Arial" w:hAnsi="Arial" w:cs="Arial"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82993" w:rsidRPr="00782353" w:rsidSect="002A0A06">
      <w:headerReference w:type="default" r:id="rId6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7A" w:rsidRDefault="00AD3C7A">
      <w:r>
        <w:separator/>
      </w:r>
    </w:p>
  </w:endnote>
  <w:endnote w:type="continuationSeparator" w:id="0">
    <w:p w:rsidR="00AD3C7A" w:rsidRDefault="00A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7A" w:rsidRDefault="00AD3C7A">
      <w:r>
        <w:separator/>
      </w:r>
    </w:p>
  </w:footnote>
  <w:footnote w:type="continuationSeparator" w:id="0">
    <w:p w:rsidR="00AD3C7A" w:rsidRDefault="00AD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AD3C7A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DA3BE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237AB"/>
    <w:rsid w:val="00061AAB"/>
    <w:rsid w:val="00067754"/>
    <w:rsid w:val="000F44B1"/>
    <w:rsid w:val="00115F3B"/>
    <w:rsid w:val="0015015F"/>
    <w:rsid w:val="00166712"/>
    <w:rsid w:val="00182993"/>
    <w:rsid w:val="001846BE"/>
    <w:rsid w:val="001E212E"/>
    <w:rsid w:val="0021380B"/>
    <w:rsid w:val="0023612E"/>
    <w:rsid w:val="002451A1"/>
    <w:rsid w:val="00252E8C"/>
    <w:rsid w:val="00277A28"/>
    <w:rsid w:val="002908BF"/>
    <w:rsid w:val="002C729A"/>
    <w:rsid w:val="003066E1"/>
    <w:rsid w:val="003179ED"/>
    <w:rsid w:val="00354C74"/>
    <w:rsid w:val="00393BF2"/>
    <w:rsid w:val="003A2B0B"/>
    <w:rsid w:val="00426FE3"/>
    <w:rsid w:val="00556818"/>
    <w:rsid w:val="00573BA5"/>
    <w:rsid w:val="00596B1A"/>
    <w:rsid w:val="005D722A"/>
    <w:rsid w:val="005E45EB"/>
    <w:rsid w:val="006113CC"/>
    <w:rsid w:val="006255F0"/>
    <w:rsid w:val="00631CAF"/>
    <w:rsid w:val="00647225"/>
    <w:rsid w:val="006B0134"/>
    <w:rsid w:val="00716901"/>
    <w:rsid w:val="00782353"/>
    <w:rsid w:val="00803BCA"/>
    <w:rsid w:val="008043AD"/>
    <w:rsid w:val="008E5716"/>
    <w:rsid w:val="008E57E2"/>
    <w:rsid w:val="008F6B2C"/>
    <w:rsid w:val="00925F36"/>
    <w:rsid w:val="0093415C"/>
    <w:rsid w:val="009356B0"/>
    <w:rsid w:val="00961D53"/>
    <w:rsid w:val="009B61C4"/>
    <w:rsid w:val="009C2D33"/>
    <w:rsid w:val="009E1E68"/>
    <w:rsid w:val="009F5E69"/>
    <w:rsid w:val="00A259FE"/>
    <w:rsid w:val="00A60ED6"/>
    <w:rsid w:val="00A6109B"/>
    <w:rsid w:val="00A91FC6"/>
    <w:rsid w:val="00AD3C7A"/>
    <w:rsid w:val="00AD7F93"/>
    <w:rsid w:val="00B23F7D"/>
    <w:rsid w:val="00B267D2"/>
    <w:rsid w:val="00B51588"/>
    <w:rsid w:val="00B605E8"/>
    <w:rsid w:val="00B76D8D"/>
    <w:rsid w:val="00B7780F"/>
    <w:rsid w:val="00BA24C8"/>
    <w:rsid w:val="00BC6240"/>
    <w:rsid w:val="00BE706B"/>
    <w:rsid w:val="00C10C32"/>
    <w:rsid w:val="00C27D65"/>
    <w:rsid w:val="00C32BF2"/>
    <w:rsid w:val="00C50389"/>
    <w:rsid w:val="00C974FB"/>
    <w:rsid w:val="00CB0E70"/>
    <w:rsid w:val="00CB7A8A"/>
    <w:rsid w:val="00CD38AD"/>
    <w:rsid w:val="00CF7879"/>
    <w:rsid w:val="00D150AF"/>
    <w:rsid w:val="00D404EE"/>
    <w:rsid w:val="00D44FC5"/>
    <w:rsid w:val="00DA3BE1"/>
    <w:rsid w:val="00DC003B"/>
    <w:rsid w:val="00DC7AE8"/>
    <w:rsid w:val="00DE6CBA"/>
    <w:rsid w:val="00E2464D"/>
    <w:rsid w:val="00E33169"/>
    <w:rsid w:val="00E77F41"/>
    <w:rsid w:val="00E97F0E"/>
    <w:rsid w:val="00EC50C4"/>
    <w:rsid w:val="00F34E2C"/>
    <w:rsid w:val="00F43A45"/>
    <w:rsid w:val="00FC63F1"/>
    <w:rsid w:val="00FC70C8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F4BC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A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6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2022-02-21T22:44:00Z</cp:lastPrinted>
  <dcterms:created xsi:type="dcterms:W3CDTF">2023-03-03T22:28:00Z</dcterms:created>
  <dcterms:modified xsi:type="dcterms:W3CDTF">2023-03-03T22:31:00Z</dcterms:modified>
</cp:coreProperties>
</file>