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4852B" w14:textId="3C0C9072" w:rsidR="00F12C4E" w:rsidRPr="007B1159" w:rsidRDefault="00DE3732" w:rsidP="007B1159">
      <w:pPr>
        <w:jc w:val="center"/>
        <w:rPr>
          <w:rFonts w:ascii="Arial" w:hAnsi="Arial" w:cs="Arial"/>
          <w:b/>
          <w:color w:val="000000" w:themeColor="text1"/>
          <w:sz w:val="22"/>
          <w:u w:val="single"/>
        </w:rPr>
      </w:pPr>
      <w:r>
        <w:rPr>
          <w:rFonts w:ascii="Arial" w:hAnsi="Arial" w:cs="Arial"/>
          <w:b/>
          <w:color w:val="000000" w:themeColor="text1"/>
          <w:sz w:val="22"/>
          <w:u w:val="single"/>
        </w:rPr>
        <w:t>OPINION LEGAL</w:t>
      </w:r>
      <w:r w:rsidR="00F12C4E" w:rsidRPr="007B1159">
        <w:rPr>
          <w:rFonts w:ascii="Arial" w:hAnsi="Arial" w:cs="Arial"/>
          <w:b/>
          <w:color w:val="000000" w:themeColor="text1"/>
          <w:sz w:val="22"/>
          <w:u w:val="single"/>
        </w:rPr>
        <w:t xml:space="preserve"> N°</w:t>
      </w:r>
      <w:r w:rsidR="00FB783C">
        <w:rPr>
          <w:rFonts w:ascii="Arial" w:hAnsi="Arial" w:cs="Arial"/>
          <w:b/>
          <w:color w:val="000000" w:themeColor="text1"/>
          <w:sz w:val="22"/>
          <w:u w:val="single"/>
        </w:rPr>
        <w:t>006</w:t>
      </w:r>
      <w:r w:rsidR="00D23363">
        <w:rPr>
          <w:rFonts w:ascii="Arial" w:hAnsi="Arial" w:cs="Arial"/>
          <w:b/>
          <w:color w:val="000000" w:themeColor="text1"/>
          <w:sz w:val="22"/>
          <w:u w:val="single"/>
        </w:rPr>
        <w:t>-202</w:t>
      </w:r>
      <w:r w:rsidR="00642581">
        <w:rPr>
          <w:rFonts w:ascii="Arial" w:hAnsi="Arial" w:cs="Arial"/>
          <w:b/>
          <w:color w:val="000000" w:themeColor="text1"/>
          <w:sz w:val="22"/>
          <w:u w:val="single"/>
        </w:rPr>
        <w:t>3</w:t>
      </w:r>
      <w:r w:rsidR="00606E3D">
        <w:rPr>
          <w:rFonts w:ascii="Arial" w:hAnsi="Arial" w:cs="Arial"/>
          <w:b/>
          <w:color w:val="000000" w:themeColor="text1"/>
          <w:sz w:val="22"/>
          <w:u w:val="single"/>
        </w:rPr>
        <w:t>-GOB.REG.HVCA-DIRESA-HPT</w:t>
      </w:r>
      <w:r>
        <w:rPr>
          <w:rFonts w:ascii="Arial" w:hAnsi="Arial" w:cs="Arial"/>
          <w:b/>
          <w:color w:val="000000" w:themeColor="text1"/>
          <w:sz w:val="22"/>
          <w:u w:val="single"/>
        </w:rPr>
        <w:t>-AJ</w:t>
      </w:r>
    </w:p>
    <w:p w14:paraId="5CB5786B" w14:textId="77777777" w:rsidR="00F12C4E" w:rsidRPr="007B1159" w:rsidRDefault="00F12C4E" w:rsidP="009B049A">
      <w:pPr>
        <w:rPr>
          <w:rFonts w:ascii="Arial" w:hAnsi="Arial" w:cs="Arial"/>
          <w:b/>
          <w:color w:val="000000" w:themeColor="text1"/>
          <w:sz w:val="22"/>
          <w:u w:val="single"/>
        </w:rPr>
      </w:pPr>
    </w:p>
    <w:p w14:paraId="38D98ABF" w14:textId="77777777" w:rsidR="00F12C4E" w:rsidRPr="007B1159" w:rsidRDefault="007B1159" w:rsidP="009B049A">
      <w:pPr>
        <w:tabs>
          <w:tab w:val="left" w:pos="1701"/>
        </w:tabs>
        <w:ind w:left="1559" w:hanging="1560"/>
        <w:rPr>
          <w:rFonts w:ascii="Arial" w:hAnsi="Arial" w:cs="Arial"/>
          <w:b/>
          <w:color w:val="000000" w:themeColor="text1"/>
          <w:sz w:val="22"/>
        </w:rPr>
      </w:pPr>
      <w:r w:rsidRPr="007B1159">
        <w:rPr>
          <w:rFonts w:ascii="Arial" w:hAnsi="Arial" w:cs="Arial"/>
          <w:b/>
          <w:color w:val="000000" w:themeColor="text1"/>
          <w:sz w:val="22"/>
        </w:rPr>
        <w:t>A</w:t>
      </w:r>
      <w:r w:rsidR="006D2C52" w:rsidRPr="007B1159">
        <w:rPr>
          <w:rFonts w:ascii="Arial" w:hAnsi="Arial" w:cs="Arial"/>
          <w:b/>
          <w:color w:val="000000" w:themeColor="text1"/>
          <w:sz w:val="22"/>
        </w:rPr>
        <w:tab/>
        <w:t>:</w:t>
      </w:r>
      <w:r w:rsidR="001E3198">
        <w:rPr>
          <w:rFonts w:ascii="Arial" w:hAnsi="Arial" w:cs="Arial"/>
          <w:b/>
          <w:color w:val="000000" w:themeColor="text1"/>
          <w:sz w:val="22"/>
        </w:rPr>
        <w:t xml:space="preserve"> </w:t>
      </w:r>
      <w:r w:rsidR="00397B7A">
        <w:rPr>
          <w:rFonts w:ascii="Arial" w:hAnsi="Arial" w:cs="Arial"/>
          <w:b/>
          <w:color w:val="000000" w:themeColor="text1"/>
          <w:sz w:val="22"/>
        </w:rPr>
        <w:t>C.</w:t>
      </w:r>
      <w:r w:rsidR="001E3198">
        <w:rPr>
          <w:rFonts w:ascii="Arial" w:hAnsi="Arial" w:cs="Arial"/>
          <w:b/>
          <w:color w:val="000000" w:themeColor="text1"/>
          <w:sz w:val="22"/>
        </w:rPr>
        <w:t xml:space="preserve">D. </w:t>
      </w:r>
      <w:r w:rsidR="00397B7A">
        <w:rPr>
          <w:rFonts w:ascii="Arial" w:hAnsi="Arial" w:cs="Arial"/>
          <w:b/>
          <w:color w:val="000000" w:themeColor="text1"/>
          <w:sz w:val="22"/>
        </w:rPr>
        <w:t>LOURDES AYALA DIAZ</w:t>
      </w:r>
    </w:p>
    <w:p w14:paraId="0CAC8E1E" w14:textId="77777777" w:rsidR="00F12C4E" w:rsidRPr="007B1159" w:rsidRDefault="00F12C4E" w:rsidP="009B049A">
      <w:pPr>
        <w:tabs>
          <w:tab w:val="left" w:pos="1701"/>
        </w:tabs>
        <w:ind w:left="1559" w:hanging="1560"/>
        <w:rPr>
          <w:rFonts w:ascii="Arial" w:hAnsi="Arial" w:cs="Arial"/>
          <w:color w:val="000000" w:themeColor="text1"/>
          <w:sz w:val="22"/>
        </w:rPr>
      </w:pPr>
      <w:r w:rsidRPr="007B1159">
        <w:rPr>
          <w:rFonts w:ascii="Arial" w:hAnsi="Arial" w:cs="Arial"/>
          <w:b/>
          <w:color w:val="000000" w:themeColor="text1"/>
          <w:sz w:val="22"/>
        </w:rPr>
        <w:tab/>
      </w:r>
      <w:r w:rsidR="006D2C52">
        <w:rPr>
          <w:rFonts w:ascii="Arial" w:hAnsi="Arial" w:cs="Arial"/>
          <w:color w:val="000000" w:themeColor="text1"/>
          <w:sz w:val="22"/>
        </w:rPr>
        <w:t xml:space="preserve">  Director</w:t>
      </w:r>
      <w:r w:rsidR="00397B7A">
        <w:rPr>
          <w:rFonts w:ascii="Arial" w:hAnsi="Arial" w:cs="Arial"/>
          <w:color w:val="000000" w:themeColor="text1"/>
          <w:sz w:val="22"/>
        </w:rPr>
        <w:t>a</w:t>
      </w:r>
      <w:r w:rsidR="006D2C52">
        <w:rPr>
          <w:rFonts w:ascii="Arial" w:hAnsi="Arial" w:cs="Arial"/>
          <w:color w:val="000000" w:themeColor="text1"/>
          <w:sz w:val="22"/>
        </w:rPr>
        <w:t xml:space="preserve"> del Hospital de Pampas</w:t>
      </w:r>
      <w:r w:rsidRPr="007B1159">
        <w:rPr>
          <w:rFonts w:ascii="Arial" w:hAnsi="Arial" w:cs="Arial"/>
          <w:color w:val="000000" w:themeColor="text1"/>
          <w:sz w:val="22"/>
        </w:rPr>
        <w:t>.</w:t>
      </w:r>
      <w:r w:rsidRPr="007B1159">
        <w:rPr>
          <w:rFonts w:ascii="Arial" w:hAnsi="Arial" w:cs="Arial"/>
          <w:color w:val="000000" w:themeColor="text1"/>
          <w:sz w:val="22"/>
        </w:rPr>
        <w:tab/>
      </w:r>
    </w:p>
    <w:p w14:paraId="52D4C860" w14:textId="77777777" w:rsidR="00F12C4E" w:rsidRPr="007B1159" w:rsidRDefault="00F12C4E" w:rsidP="009B049A">
      <w:pPr>
        <w:tabs>
          <w:tab w:val="left" w:pos="1701"/>
        </w:tabs>
        <w:ind w:left="1559" w:hanging="1560"/>
        <w:rPr>
          <w:rFonts w:ascii="Arial" w:hAnsi="Arial" w:cs="Arial"/>
          <w:b/>
          <w:color w:val="000000" w:themeColor="text1"/>
          <w:sz w:val="22"/>
        </w:rPr>
      </w:pPr>
    </w:p>
    <w:p w14:paraId="4817DC8C" w14:textId="77777777" w:rsidR="00F12C4E" w:rsidRPr="007B1159" w:rsidRDefault="007B1159" w:rsidP="009B049A">
      <w:pPr>
        <w:ind w:left="1559" w:hanging="1559"/>
        <w:contextualSpacing/>
        <w:jc w:val="both"/>
        <w:rPr>
          <w:rFonts w:ascii="Arial" w:hAnsi="Arial" w:cs="Arial"/>
          <w:b/>
          <w:color w:val="000000" w:themeColor="text1"/>
          <w:sz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310AB9">
        <w:rPr>
          <w:rFonts w:ascii="Arial" w:hAnsi="Arial" w:cs="Arial"/>
          <w:b/>
          <w:color w:val="000000" w:themeColor="text1"/>
          <w:sz w:val="22"/>
        </w:rPr>
        <w:t xml:space="preserve">Abg. Ricner </w:t>
      </w:r>
      <w:r w:rsidR="00CB460C">
        <w:rPr>
          <w:rFonts w:ascii="Arial" w:hAnsi="Arial" w:cs="Arial"/>
          <w:b/>
          <w:color w:val="000000" w:themeColor="text1"/>
          <w:sz w:val="22"/>
        </w:rPr>
        <w:t>R</w:t>
      </w:r>
      <w:r w:rsidR="00CB460C" w:rsidRPr="007B1159">
        <w:rPr>
          <w:rFonts w:ascii="Arial" w:hAnsi="Arial" w:cs="Arial"/>
          <w:b/>
          <w:color w:val="000000" w:themeColor="text1"/>
          <w:sz w:val="22"/>
        </w:rPr>
        <w:t>.</w:t>
      </w:r>
      <w:r w:rsidR="00CB460C">
        <w:rPr>
          <w:rFonts w:ascii="Arial" w:hAnsi="Arial" w:cs="Arial"/>
          <w:b/>
          <w:color w:val="000000" w:themeColor="text1"/>
          <w:sz w:val="22"/>
        </w:rPr>
        <w:t xml:space="preserve"> VILLANEDA</w:t>
      </w:r>
      <w:r w:rsidR="00310AB9">
        <w:rPr>
          <w:rFonts w:ascii="Arial" w:hAnsi="Arial" w:cs="Arial"/>
          <w:b/>
          <w:color w:val="000000" w:themeColor="text1"/>
          <w:sz w:val="22"/>
        </w:rPr>
        <w:t xml:space="preserve"> RIVEROS</w:t>
      </w:r>
    </w:p>
    <w:p w14:paraId="5674C03F" w14:textId="77777777" w:rsidR="007B1159" w:rsidRDefault="007B1159" w:rsidP="009B049A">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sidR="00BC12B3">
        <w:rPr>
          <w:rFonts w:ascii="Arial" w:hAnsi="Arial" w:cs="Arial"/>
          <w:b/>
          <w:color w:val="000000" w:themeColor="text1"/>
          <w:sz w:val="22"/>
        </w:rPr>
        <w:t xml:space="preserve">   </w:t>
      </w:r>
      <w:r w:rsidRPr="007B1159">
        <w:rPr>
          <w:rFonts w:ascii="Arial" w:hAnsi="Arial" w:cs="Arial"/>
          <w:color w:val="000000" w:themeColor="text1"/>
          <w:sz w:val="22"/>
        </w:rPr>
        <w:t>RESPONSABLE DE ASESORIA JURIDICA</w:t>
      </w:r>
    </w:p>
    <w:p w14:paraId="58002579" w14:textId="77777777" w:rsidR="008B6085" w:rsidRDefault="008B6085" w:rsidP="009B049A">
      <w:pPr>
        <w:ind w:left="1559" w:hanging="1559"/>
        <w:contextualSpacing/>
        <w:jc w:val="both"/>
        <w:rPr>
          <w:rFonts w:ascii="Arial" w:hAnsi="Arial" w:cs="Arial"/>
          <w:color w:val="000000" w:themeColor="text1"/>
          <w:sz w:val="22"/>
        </w:rPr>
      </w:pPr>
    </w:p>
    <w:p w14:paraId="18AA8513" w14:textId="77777777" w:rsidR="008B6085" w:rsidRPr="008B6085" w:rsidRDefault="008B6085" w:rsidP="009B049A">
      <w:pPr>
        <w:ind w:left="1559" w:hanging="1559"/>
        <w:contextualSpacing/>
        <w:jc w:val="both"/>
        <w:rPr>
          <w:rFonts w:ascii="Arial" w:hAnsi="Arial" w:cs="Arial"/>
          <w:b/>
          <w:color w:val="000000" w:themeColor="text1"/>
          <w:sz w:val="22"/>
        </w:rPr>
      </w:pPr>
      <w:r w:rsidRPr="008B6085">
        <w:rPr>
          <w:rFonts w:ascii="Arial" w:hAnsi="Arial" w:cs="Arial"/>
          <w:b/>
          <w:color w:val="000000" w:themeColor="text1"/>
          <w:sz w:val="22"/>
        </w:rPr>
        <w:t>ASUNTO</w:t>
      </w:r>
      <w:r w:rsidRPr="008B6085">
        <w:rPr>
          <w:rFonts w:ascii="Arial" w:hAnsi="Arial" w:cs="Arial"/>
          <w:b/>
          <w:color w:val="000000" w:themeColor="text1"/>
          <w:sz w:val="22"/>
        </w:rPr>
        <w:tab/>
        <w:t xml:space="preserve">: </w:t>
      </w:r>
      <w:r w:rsidR="00A558D9">
        <w:rPr>
          <w:rFonts w:ascii="Arial" w:hAnsi="Arial" w:cs="Arial"/>
          <w:b/>
          <w:color w:val="000000" w:themeColor="text1"/>
          <w:sz w:val="22"/>
        </w:rPr>
        <w:t>SOLICITUD DE RESERVA DE PLAZA</w:t>
      </w:r>
    </w:p>
    <w:p w14:paraId="60BFF5E1" w14:textId="77777777" w:rsidR="00F12C4E" w:rsidRPr="007B1159" w:rsidRDefault="00F12C4E" w:rsidP="009B049A">
      <w:pPr>
        <w:tabs>
          <w:tab w:val="left" w:pos="1560"/>
          <w:tab w:val="left" w:pos="1701"/>
        </w:tabs>
        <w:ind w:left="1985" w:hanging="1985"/>
        <w:jc w:val="both"/>
        <w:rPr>
          <w:rFonts w:ascii="Arial" w:hAnsi="Arial" w:cs="Arial"/>
          <w:b/>
          <w:color w:val="000000" w:themeColor="text1"/>
          <w:sz w:val="22"/>
        </w:rPr>
      </w:pPr>
    </w:p>
    <w:p w14:paraId="3F48999F" w14:textId="77777777" w:rsidR="00F12C4E" w:rsidRPr="00397B7A" w:rsidRDefault="00F12C4E" w:rsidP="009B049A">
      <w:pPr>
        <w:tabs>
          <w:tab w:val="left" w:pos="1560"/>
          <w:tab w:val="left" w:pos="1701"/>
        </w:tabs>
        <w:ind w:left="1701" w:hanging="1701"/>
        <w:jc w:val="both"/>
        <w:rPr>
          <w:rFonts w:ascii="Arial" w:hAnsi="Arial" w:cs="Arial"/>
          <w:bCs/>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397B7A" w:rsidRPr="00397B7A">
        <w:rPr>
          <w:rFonts w:ascii="Arial" w:hAnsi="Arial" w:cs="Arial"/>
          <w:bCs/>
          <w:color w:val="000000" w:themeColor="text1"/>
          <w:sz w:val="22"/>
        </w:rPr>
        <w:t>Informe N° 0</w:t>
      </w:r>
      <w:r w:rsidR="00A558D9">
        <w:rPr>
          <w:rFonts w:ascii="Arial" w:hAnsi="Arial" w:cs="Arial"/>
          <w:bCs/>
          <w:color w:val="000000" w:themeColor="text1"/>
          <w:sz w:val="22"/>
        </w:rPr>
        <w:t>76</w:t>
      </w:r>
      <w:r w:rsidR="00397B7A" w:rsidRPr="00397B7A">
        <w:rPr>
          <w:rFonts w:ascii="Arial" w:hAnsi="Arial" w:cs="Arial"/>
          <w:bCs/>
          <w:color w:val="000000" w:themeColor="text1"/>
          <w:sz w:val="22"/>
        </w:rPr>
        <w:t>-2023/GOB.REG.HVCA/DIRESA/HPT-OA-UGRH</w:t>
      </w:r>
    </w:p>
    <w:p w14:paraId="5F3A3D47" w14:textId="77777777" w:rsidR="00F12C4E" w:rsidRPr="007B1159" w:rsidRDefault="00F12C4E" w:rsidP="009B049A">
      <w:pPr>
        <w:tabs>
          <w:tab w:val="left" w:pos="1560"/>
          <w:tab w:val="left" w:pos="1701"/>
        </w:tabs>
        <w:ind w:left="1701" w:hanging="1701"/>
        <w:jc w:val="both"/>
        <w:rPr>
          <w:rFonts w:ascii="Arial" w:hAnsi="Arial" w:cs="Arial"/>
          <w:b/>
          <w:color w:val="000000" w:themeColor="text1"/>
          <w:sz w:val="22"/>
        </w:rPr>
      </w:pPr>
    </w:p>
    <w:p w14:paraId="584DC8CC" w14:textId="77777777"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8D74BE">
        <w:rPr>
          <w:rFonts w:ascii="Arial" w:hAnsi="Arial" w:cs="Arial"/>
          <w:b/>
          <w:color w:val="000000" w:themeColor="text1"/>
          <w:sz w:val="22"/>
        </w:rPr>
        <w:t xml:space="preserve">FECHA   </w:t>
      </w:r>
      <w:r>
        <w:rPr>
          <w:rFonts w:ascii="Arial" w:hAnsi="Arial" w:cs="Arial"/>
          <w:color w:val="000000" w:themeColor="text1"/>
          <w:sz w:val="22"/>
        </w:rPr>
        <w:t xml:space="preserve">     </w:t>
      </w:r>
      <w:r w:rsidR="00BC12B3">
        <w:rPr>
          <w:rFonts w:ascii="Arial" w:hAnsi="Arial" w:cs="Arial"/>
          <w:color w:val="000000" w:themeColor="text1"/>
          <w:sz w:val="22"/>
        </w:rPr>
        <w:t xml:space="preserve">    </w:t>
      </w:r>
      <w:proofErr w:type="gramStart"/>
      <w:r w:rsidR="00BC12B3">
        <w:rPr>
          <w:rFonts w:ascii="Arial" w:hAnsi="Arial" w:cs="Arial"/>
          <w:color w:val="000000" w:themeColor="text1"/>
          <w:sz w:val="22"/>
        </w:rPr>
        <w:t xml:space="preserve">  </w:t>
      </w:r>
      <w:r w:rsidR="00E02072" w:rsidRPr="00BC12B3">
        <w:rPr>
          <w:rFonts w:ascii="Arial" w:hAnsi="Arial" w:cs="Arial"/>
          <w:b/>
          <w:color w:val="000000" w:themeColor="text1"/>
          <w:sz w:val="22"/>
        </w:rPr>
        <w:t>:</w:t>
      </w:r>
      <w:proofErr w:type="gramEnd"/>
      <w:r w:rsidR="00E02072" w:rsidRPr="00BC12B3">
        <w:rPr>
          <w:rFonts w:ascii="Arial" w:hAnsi="Arial" w:cs="Arial"/>
          <w:b/>
          <w:color w:val="000000" w:themeColor="text1"/>
          <w:sz w:val="22"/>
        </w:rPr>
        <w:t xml:space="preserve"> </w:t>
      </w:r>
      <w:r w:rsidR="00E02072">
        <w:rPr>
          <w:rFonts w:ascii="Arial" w:hAnsi="Arial" w:cs="Arial"/>
          <w:color w:val="000000" w:themeColor="text1"/>
          <w:sz w:val="22"/>
        </w:rPr>
        <w:t>Pampas</w:t>
      </w:r>
      <w:r w:rsidR="00484865">
        <w:rPr>
          <w:rFonts w:ascii="Arial" w:hAnsi="Arial" w:cs="Arial"/>
          <w:color w:val="000000" w:themeColor="text1"/>
          <w:sz w:val="22"/>
        </w:rPr>
        <w:t xml:space="preserve">, </w:t>
      </w:r>
      <w:r w:rsidR="00397B7A">
        <w:rPr>
          <w:rFonts w:ascii="Arial" w:hAnsi="Arial" w:cs="Arial"/>
          <w:color w:val="000000" w:themeColor="text1"/>
          <w:sz w:val="22"/>
        </w:rPr>
        <w:t>08</w:t>
      </w:r>
      <w:r w:rsidR="00484865">
        <w:rPr>
          <w:rFonts w:ascii="Arial" w:hAnsi="Arial" w:cs="Arial"/>
          <w:color w:val="000000" w:themeColor="text1"/>
          <w:sz w:val="22"/>
        </w:rPr>
        <w:t xml:space="preserve"> de </w:t>
      </w:r>
      <w:r w:rsidR="00397B7A">
        <w:rPr>
          <w:rFonts w:ascii="Arial" w:hAnsi="Arial" w:cs="Arial"/>
          <w:color w:val="000000" w:themeColor="text1"/>
          <w:sz w:val="22"/>
        </w:rPr>
        <w:t>Marzo</w:t>
      </w:r>
      <w:r w:rsidR="00D23363">
        <w:rPr>
          <w:rFonts w:ascii="Arial" w:hAnsi="Arial" w:cs="Arial"/>
          <w:color w:val="000000" w:themeColor="text1"/>
          <w:sz w:val="22"/>
        </w:rPr>
        <w:t xml:space="preserve"> de 202</w:t>
      </w:r>
      <w:r w:rsidR="00397B7A">
        <w:rPr>
          <w:rFonts w:ascii="Arial" w:hAnsi="Arial" w:cs="Arial"/>
          <w:color w:val="000000" w:themeColor="text1"/>
          <w:sz w:val="22"/>
        </w:rPr>
        <w:t>3</w:t>
      </w:r>
      <w:r w:rsidR="007B1159" w:rsidRPr="007B1159">
        <w:rPr>
          <w:rFonts w:ascii="Arial" w:hAnsi="Arial" w:cs="Arial"/>
          <w:color w:val="000000" w:themeColor="text1"/>
          <w:sz w:val="22"/>
        </w:rPr>
        <w:t>.</w:t>
      </w:r>
    </w:p>
    <w:p w14:paraId="3B1D2B8D" w14:textId="77777777" w:rsidR="00F12C4E" w:rsidRPr="007B1159" w:rsidRDefault="00F12C4E" w:rsidP="009B049A">
      <w:pPr>
        <w:jc w:val="both"/>
        <w:rPr>
          <w:rFonts w:ascii="Arial" w:hAnsi="Arial" w:cs="Arial"/>
          <w:color w:val="000000" w:themeColor="text1"/>
          <w:sz w:val="8"/>
          <w:szCs w:val="10"/>
        </w:rPr>
      </w:pPr>
    </w:p>
    <w:p w14:paraId="691C9A36" w14:textId="318B2240" w:rsidR="00D027EE" w:rsidRDefault="002E718B" w:rsidP="006B43C0">
      <w:pPr>
        <w:ind w:firstLine="708"/>
        <w:jc w:val="both"/>
        <w:rPr>
          <w:rFonts w:ascii="Arial" w:hAnsi="Arial" w:cs="Arial"/>
          <w:color w:val="000000" w:themeColor="text1"/>
          <w:sz w:val="22"/>
        </w:rPr>
      </w:pPr>
      <w:r w:rsidRPr="00C10D22">
        <w:rPr>
          <w:rFonts w:ascii="Arial" w:hAnsi="Arial" w:cs="Arial"/>
          <w:color w:val="000000" w:themeColor="text1"/>
          <w:sz w:val="22"/>
        </w:rPr>
        <w:t xml:space="preserve">Por </w:t>
      </w:r>
      <w:r w:rsidR="007B1159" w:rsidRPr="00C10D22">
        <w:rPr>
          <w:rFonts w:ascii="Arial" w:hAnsi="Arial" w:cs="Arial"/>
          <w:color w:val="000000" w:themeColor="text1"/>
          <w:sz w:val="22"/>
        </w:rPr>
        <w:t xml:space="preserve">medio del presente me es grato dirigirme a su digno </w:t>
      </w:r>
      <w:r w:rsidR="008A3BCB">
        <w:rPr>
          <w:rFonts w:ascii="Arial" w:hAnsi="Arial" w:cs="Arial"/>
          <w:color w:val="000000" w:themeColor="text1"/>
          <w:sz w:val="22"/>
        </w:rPr>
        <w:t>Despacho</w:t>
      </w:r>
      <w:r w:rsidR="007B1159" w:rsidRPr="00C10D22">
        <w:rPr>
          <w:rFonts w:ascii="Arial" w:hAnsi="Arial" w:cs="Arial"/>
          <w:color w:val="000000" w:themeColor="text1"/>
          <w:sz w:val="22"/>
        </w:rPr>
        <w:t xml:space="preserve"> para saludarle </w:t>
      </w:r>
      <w:r w:rsidR="002F43F4" w:rsidRPr="00C10D22">
        <w:rPr>
          <w:rFonts w:ascii="Arial" w:hAnsi="Arial" w:cs="Arial"/>
          <w:color w:val="000000" w:themeColor="text1"/>
          <w:sz w:val="22"/>
        </w:rPr>
        <w:t>cordialmente; y</w:t>
      </w:r>
      <w:r w:rsidR="007B1159" w:rsidRPr="00C10D22">
        <w:rPr>
          <w:rFonts w:ascii="Arial" w:hAnsi="Arial" w:cs="Arial"/>
          <w:color w:val="000000" w:themeColor="text1"/>
          <w:sz w:val="22"/>
        </w:rPr>
        <w:t xml:space="preserve"> a su vez mediante el </w:t>
      </w:r>
      <w:r w:rsidR="002F43F4" w:rsidRPr="00C10D22">
        <w:rPr>
          <w:rFonts w:ascii="Arial" w:hAnsi="Arial" w:cs="Arial"/>
          <w:color w:val="000000" w:themeColor="text1"/>
          <w:sz w:val="22"/>
        </w:rPr>
        <w:t>presente, la</w:t>
      </w:r>
      <w:r w:rsidR="007B1159" w:rsidRPr="00C10D22">
        <w:rPr>
          <w:rFonts w:ascii="Arial" w:hAnsi="Arial" w:cs="Arial"/>
          <w:color w:val="000000" w:themeColor="text1"/>
          <w:sz w:val="22"/>
        </w:rPr>
        <w:t xml:space="preserve"> Oficina de </w:t>
      </w:r>
      <w:r w:rsidR="002F43F4" w:rsidRPr="00C10D22">
        <w:rPr>
          <w:rFonts w:ascii="Arial" w:hAnsi="Arial" w:cs="Arial"/>
          <w:color w:val="000000" w:themeColor="text1"/>
          <w:sz w:val="22"/>
        </w:rPr>
        <w:t>Asesoría</w:t>
      </w:r>
      <w:r w:rsidR="007B1159" w:rsidRPr="00C10D22">
        <w:rPr>
          <w:rFonts w:ascii="Arial" w:hAnsi="Arial" w:cs="Arial"/>
          <w:color w:val="000000" w:themeColor="text1"/>
          <w:sz w:val="22"/>
        </w:rPr>
        <w:t xml:space="preserve"> </w:t>
      </w:r>
      <w:r w:rsidR="002F43F4" w:rsidRPr="00C10D22">
        <w:rPr>
          <w:rFonts w:ascii="Arial" w:hAnsi="Arial" w:cs="Arial"/>
          <w:color w:val="000000" w:themeColor="text1"/>
          <w:sz w:val="22"/>
        </w:rPr>
        <w:t>Jurídica</w:t>
      </w:r>
      <w:r w:rsidR="007B1159" w:rsidRPr="00C10D22">
        <w:rPr>
          <w:rFonts w:ascii="Arial" w:hAnsi="Arial" w:cs="Arial"/>
          <w:color w:val="000000" w:themeColor="text1"/>
          <w:sz w:val="22"/>
        </w:rPr>
        <w:t xml:space="preserve"> del Hospital de </w:t>
      </w:r>
      <w:r w:rsidR="002F43F4" w:rsidRPr="00C10D22">
        <w:rPr>
          <w:rFonts w:ascii="Arial" w:hAnsi="Arial" w:cs="Arial"/>
          <w:color w:val="000000" w:themeColor="text1"/>
          <w:sz w:val="22"/>
        </w:rPr>
        <w:t xml:space="preserve">Pampas, hace de su </w:t>
      </w:r>
      <w:r w:rsidR="00FB6207" w:rsidRPr="00C10D22">
        <w:rPr>
          <w:rFonts w:ascii="Arial" w:hAnsi="Arial" w:cs="Arial"/>
          <w:color w:val="000000" w:themeColor="text1"/>
          <w:sz w:val="22"/>
        </w:rPr>
        <w:t xml:space="preserve">conocimiento, </w:t>
      </w:r>
      <w:r w:rsidR="000F705F" w:rsidRPr="00C10D22">
        <w:rPr>
          <w:rFonts w:ascii="Arial" w:hAnsi="Arial" w:cs="Arial"/>
          <w:color w:val="000000" w:themeColor="text1"/>
          <w:sz w:val="22"/>
        </w:rPr>
        <w:t xml:space="preserve">en </w:t>
      </w:r>
      <w:r w:rsidR="00D027EE" w:rsidRPr="00C10D22">
        <w:rPr>
          <w:rFonts w:ascii="Arial" w:hAnsi="Arial" w:cs="Arial"/>
          <w:color w:val="000000" w:themeColor="text1"/>
          <w:sz w:val="22"/>
        </w:rPr>
        <w:t>virtud a;</w:t>
      </w:r>
    </w:p>
    <w:p w14:paraId="0954E93B" w14:textId="77777777" w:rsidR="006B43C0" w:rsidRPr="00C10D22" w:rsidRDefault="006B43C0" w:rsidP="006B43C0">
      <w:pPr>
        <w:ind w:firstLine="708"/>
        <w:jc w:val="both"/>
        <w:rPr>
          <w:rFonts w:ascii="Arial" w:hAnsi="Arial" w:cs="Arial"/>
          <w:color w:val="000000" w:themeColor="text1"/>
          <w:sz w:val="22"/>
        </w:rPr>
      </w:pPr>
    </w:p>
    <w:p w14:paraId="19842738" w14:textId="77777777"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I. VISTO:</w:t>
      </w:r>
      <w:r w:rsidRPr="00C10D22">
        <w:rPr>
          <w:rFonts w:ascii="Arial" w:hAnsi="Arial" w:cs="Arial"/>
          <w:b/>
          <w:color w:val="000000" w:themeColor="text1"/>
          <w:sz w:val="22"/>
        </w:rPr>
        <w:tab/>
      </w:r>
    </w:p>
    <w:p w14:paraId="7DE15E51" w14:textId="77777777" w:rsidR="000D3306" w:rsidRPr="00C10D22" w:rsidRDefault="001E3198" w:rsidP="00004BF1">
      <w:pPr>
        <w:ind w:left="708"/>
        <w:jc w:val="both"/>
        <w:rPr>
          <w:rFonts w:ascii="Arial" w:hAnsi="Arial" w:cs="Arial"/>
          <w:color w:val="000000" w:themeColor="text1"/>
          <w:sz w:val="22"/>
        </w:rPr>
      </w:pPr>
      <w:r w:rsidRPr="00C10D22">
        <w:rPr>
          <w:rFonts w:ascii="Arial" w:hAnsi="Arial" w:cs="Arial"/>
          <w:color w:val="000000" w:themeColor="text1"/>
          <w:sz w:val="22"/>
        </w:rPr>
        <w:t xml:space="preserve">1.1.- Solicitud </w:t>
      </w:r>
      <w:r w:rsidR="00A558D9">
        <w:rPr>
          <w:rFonts w:ascii="Arial" w:hAnsi="Arial" w:cs="Arial"/>
          <w:color w:val="000000" w:themeColor="text1"/>
          <w:sz w:val="22"/>
        </w:rPr>
        <w:t>con expediente N° 144</w:t>
      </w:r>
      <w:r w:rsidRPr="00C10D22">
        <w:rPr>
          <w:rFonts w:ascii="Arial" w:hAnsi="Arial" w:cs="Arial"/>
          <w:color w:val="000000" w:themeColor="text1"/>
          <w:sz w:val="22"/>
        </w:rPr>
        <w:t xml:space="preserve"> de fecha </w:t>
      </w:r>
      <w:r w:rsidR="00397B7A">
        <w:rPr>
          <w:rFonts w:ascii="Arial" w:hAnsi="Arial" w:cs="Arial"/>
          <w:color w:val="000000" w:themeColor="text1"/>
          <w:sz w:val="22"/>
        </w:rPr>
        <w:t>0</w:t>
      </w:r>
      <w:r w:rsidR="00A558D9">
        <w:rPr>
          <w:rFonts w:ascii="Arial" w:hAnsi="Arial" w:cs="Arial"/>
          <w:color w:val="000000" w:themeColor="text1"/>
          <w:sz w:val="22"/>
        </w:rPr>
        <w:t>3</w:t>
      </w:r>
      <w:r w:rsidRPr="00C10D22">
        <w:rPr>
          <w:rFonts w:ascii="Arial" w:hAnsi="Arial" w:cs="Arial"/>
          <w:color w:val="000000" w:themeColor="text1"/>
          <w:sz w:val="22"/>
        </w:rPr>
        <w:t xml:space="preserve"> de </w:t>
      </w:r>
      <w:r w:rsidR="00A558D9">
        <w:rPr>
          <w:rFonts w:ascii="Arial" w:hAnsi="Arial" w:cs="Arial"/>
          <w:color w:val="000000" w:themeColor="text1"/>
          <w:sz w:val="22"/>
        </w:rPr>
        <w:t>marzo</w:t>
      </w:r>
      <w:r w:rsidR="00A005ED" w:rsidRPr="00C10D22">
        <w:rPr>
          <w:rFonts w:ascii="Arial" w:hAnsi="Arial" w:cs="Arial"/>
          <w:color w:val="000000" w:themeColor="text1"/>
          <w:sz w:val="22"/>
        </w:rPr>
        <w:t xml:space="preserve"> de</w:t>
      </w:r>
      <w:r w:rsidR="00A558D9">
        <w:rPr>
          <w:rFonts w:ascii="Arial" w:hAnsi="Arial" w:cs="Arial"/>
          <w:color w:val="000000" w:themeColor="text1"/>
          <w:sz w:val="22"/>
        </w:rPr>
        <w:t>l</w:t>
      </w:r>
      <w:r w:rsidR="00A005ED" w:rsidRPr="00C10D22">
        <w:rPr>
          <w:rFonts w:ascii="Arial" w:hAnsi="Arial" w:cs="Arial"/>
          <w:color w:val="000000" w:themeColor="text1"/>
          <w:sz w:val="22"/>
        </w:rPr>
        <w:t xml:space="preserve"> 202</w:t>
      </w:r>
      <w:r w:rsidR="00397B7A">
        <w:rPr>
          <w:rFonts w:ascii="Arial" w:hAnsi="Arial" w:cs="Arial"/>
          <w:color w:val="000000" w:themeColor="text1"/>
          <w:sz w:val="22"/>
        </w:rPr>
        <w:t>3</w:t>
      </w:r>
      <w:r w:rsidR="00A005ED" w:rsidRPr="00C10D22">
        <w:rPr>
          <w:rFonts w:ascii="Arial" w:hAnsi="Arial" w:cs="Arial"/>
          <w:color w:val="000000" w:themeColor="text1"/>
          <w:sz w:val="22"/>
        </w:rPr>
        <w:t>.</w:t>
      </w:r>
      <w:r w:rsidR="00004BF1" w:rsidRPr="00C10D22">
        <w:rPr>
          <w:rFonts w:ascii="Arial" w:hAnsi="Arial" w:cs="Arial"/>
          <w:color w:val="000000" w:themeColor="text1"/>
          <w:sz w:val="22"/>
        </w:rPr>
        <w:t xml:space="preserve"> Suscrito por </w:t>
      </w:r>
      <w:r w:rsidR="00A558D9">
        <w:rPr>
          <w:rFonts w:ascii="Arial" w:hAnsi="Arial" w:cs="Arial"/>
          <w:color w:val="000000" w:themeColor="text1"/>
          <w:sz w:val="22"/>
        </w:rPr>
        <w:t>el servidor Evans Jean, SANTA CRUZ CHAMORRO</w:t>
      </w:r>
      <w:r w:rsidR="00004BF1" w:rsidRPr="00C10D22">
        <w:rPr>
          <w:rFonts w:ascii="Arial" w:hAnsi="Arial" w:cs="Arial"/>
          <w:color w:val="000000" w:themeColor="text1"/>
          <w:sz w:val="22"/>
        </w:rPr>
        <w:t>.</w:t>
      </w:r>
    </w:p>
    <w:p w14:paraId="49EC347F" w14:textId="77777777" w:rsidR="00D027EE" w:rsidRPr="00C10D22" w:rsidRDefault="00D027EE" w:rsidP="00DB097B">
      <w:pPr>
        <w:jc w:val="both"/>
        <w:rPr>
          <w:rFonts w:ascii="Arial" w:hAnsi="Arial" w:cs="Arial"/>
          <w:color w:val="000000" w:themeColor="text1"/>
          <w:sz w:val="22"/>
        </w:rPr>
      </w:pPr>
      <w:r w:rsidRPr="00C10D22">
        <w:rPr>
          <w:rFonts w:ascii="Arial" w:hAnsi="Arial" w:cs="Arial"/>
          <w:color w:val="000000" w:themeColor="text1"/>
          <w:sz w:val="22"/>
        </w:rPr>
        <w:tab/>
      </w:r>
    </w:p>
    <w:p w14:paraId="05A6DBB5" w14:textId="77777777"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 xml:space="preserve">II. ANTECEDENTES: </w:t>
      </w:r>
    </w:p>
    <w:p w14:paraId="6D4773FC" w14:textId="77777777" w:rsidR="00D027EE" w:rsidRPr="00C10D22" w:rsidRDefault="00D027EE" w:rsidP="00DB097B">
      <w:pPr>
        <w:jc w:val="both"/>
        <w:rPr>
          <w:rFonts w:ascii="Arial" w:hAnsi="Arial" w:cs="Arial"/>
          <w:b/>
          <w:color w:val="000000" w:themeColor="text1"/>
          <w:sz w:val="22"/>
        </w:rPr>
      </w:pPr>
    </w:p>
    <w:p w14:paraId="69398474" w14:textId="7326BF55" w:rsidR="00A558D9" w:rsidRDefault="00D027EE" w:rsidP="00DB097B">
      <w:pPr>
        <w:jc w:val="both"/>
        <w:rPr>
          <w:rFonts w:ascii="Arial" w:hAnsi="Arial" w:cs="Arial"/>
          <w:color w:val="000000" w:themeColor="text1"/>
          <w:sz w:val="22"/>
        </w:rPr>
      </w:pPr>
      <w:r w:rsidRPr="00C10D22">
        <w:rPr>
          <w:rFonts w:ascii="Arial" w:hAnsi="Arial" w:cs="Arial"/>
          <w:color w:val="000000" w:themeColor="text1"/>
          <w:sz w:val="22"/>
        </w:rPr>
        <w:t xml:space="preserve">2.1.- </w:t>
      </w:r>
      <w:r w:rsidR="00397B7A" w:rsidRPr="00C10D22">
        <w:rPr>
          <w:rFonts w:ascii="Arial" w:hAnsi="Arial" w:cs="Arial"/>
          <w:color w:val="000000" w:themeColor="text1"/>
          <w:sz w:val="22"/>
        </w:rPr>
        <w:t xml:space="preserve">Solicitud </w:t>
      </w:r>
      <w:r w:rsidR="00A558D9">
        <w:rPr>
          <w:rFonts w:ascii="Arial" w:hAnsi="Arial" w:cs="Arial"/>
          <w:color w:val="000000" w:themeColor="text1"/>
          <w:sz w:val="22"/>
        </w:rPr>
        <w:t>de</w:t>
      </w:r>
      <w:r w:rsidR="009A5D71">
        <w:rPr>
          <w:rFonts w:ascii="Arial" w:hAnsi="Arial" w:cs="Arial"/>
          <w:color w:val="000000" w:themeColor="text1"/>
          <w:sz w:val="22"/>
        </w:rPr>
        <w:t xml:space="preserve"> reconsideración</w:t>
      </w:r>
      <w:r w:rsidR="00A558D9">
        <w:rPr>
          <w:rFonts w:ascii="Arial" w:hAnsi="Arial" w:cs="Arial"/>
          <w:color w:val="000000" w:themeColor="text1"/>
          <w:sz w:val="22"/>
        </w:rPr>
        <w:t xml:space="preserve"> expediente N° 144</w:t>
      </w:r>
      <w:r w:rsidR="00397B7A" w:rsidRPr="00C10D22">
        <w:rPr>
          <w:rFonts w:ascii="Arial" w:hAnsi="Arial" w:cs="Arial"/>
          <w:color w:val="000000" w:themeColor="text1"/>
          <w:sz w:val="22"/>
        </w:rPr>
        <w:t xml:space="preserve"> de fecha </w:t>
      </w:r>
      <w:r w:rsidR="00397B7A">
        <w:rPr>
          <w:rFonts w:ascii="Arial" w:hAnsi="Arial" w:cs="Arial"/>
          <w:color w:val="000000" w:themeColor="text1"/>
          <w:sz w:val="22"/>
        </w:rPr>
        <w:t>0</w:t>
      </w:r>
      <w:r w:rsidR="00A558D9">
        <w:rPr>
          <w:rFonts w:ascii="Arial" w:hAnsi="Arial" w:cs="Arial"/>
          <w:color w:val="000000" w:themeColor="text1"/>
          <w:sz w:val="22"/>
        </w:rPr>
        <w:t>3</w:t>
      </w:r>
      <w:r w:rsidR="00397B7A" w:rsidRPr="00C10D22">
        <w:rPr>
          <w:rFonts w:ascii="Arial" w:hAnsi="Arial" w:cs="Arial"/>
          <w:color w:val="000000" w:themeColor="text1"/>
          <w:sz w:val="22"/>
        </w:rPr>
        <w:t xml:space="preserve"> de </w:t>
      </w:r>
      <w:r w:rsidR="00A558D9">
        <w:rPr>
          <w:rFonts w:ascii="Arial" w:hAnsi="Arial" w:cs="Arial"/>
          <w:color w:val="000000" w:themeColor="text1"/>
          <w:sz w:val="22"/>
        </w:rPr>
        <w:t>marzo</w:t>
      </w:r>
      <w:r w:rsidR="00397B7A" w:rsidRPr="00C10D22">
        <w:rPr>
          <w:rFonts w:ascii="Arial" w:hAnsi="Arial" w:cs="Arial"/>
          <w:color w:val="000000" w:themeColor="text1"/>
          <w:sz w:val="22"/>
        </w:rPr>
        <w:t xml:space="preserve"> de</w:t>
      </w:r>
      <w:r w:rsidR="00A558D9">
        <w:rPr>
          <w:rFonts w:ascii="Arial" w:hAnsi="Arial" w:cs="Arial"/>
          <w:color w:val="000000" w:themeColor="text1"/>
          <w:sz w:val="22"/>
        </w:rPr>
        <w:t>l</w:t>
      </w:r>
      <w:r w:rsidR="00397B7A" w:rsidRPr="00C10D22">
        <w:rPr>
          <w:rFonts w:ascii="Arial" w:hAnsi="Arial" w:cs="Arial"/>
          <w:color w:val="000000" w:themeColor="text1"/>
          <w:sz w:val="22"/>
        </w:rPr>
        <w:t xml:space="preserve"> 202</w:t>
      </w:r>
      <w:r w:rsidR="00397B7A">
        <w:rPr>
          <w:rFonts w:ascii="Arial" w:hAnsi="Arial" w:cs="Arial"/>
          <w:color w:val="000000" w:themeColor="text1"/>
          <w:sz w:val="22"/>
        </w:rPr>
        <w:t>3</w:t>
      </w:r>
      <w:r w:rsidR="00397B7A" w:rsidRPr="00C10D22">
        <w:rPr>
          <w:rFonts w:ascii="Arial" w:hAnsi="Arial" w:cs="Arial"/>
          <w:color w:val="000000" w:themeColor="text1"/>
          <w:sz w:val="22"/>
        </w:rPr>
        <w:t xml:space="preserve">. </w:t>
      </w:r>
      <w:r w:rsidR="008A3BCB">
        <w:rPr>
          <w:rFonts w:ascii="Arial" w:hAnsi="Arial" w:cs="Arial"/>
          <w:color w:val="000000" w:themeColor="text1"/>
          <w:sz w:val="22"/>
        </w:rPr>
        <w:t>s</w:t>
      </w:r>
      <w:r w:rsidR="00397B7A" w:rsidRPr="00C10D22">
        <w:rPr>
          <w:rFonts w:ascii="Arial" w:hAnsi="Arial" w:cs="Arial"/>
          <w:color w:val="000000" w:themeColor="text1"/>
          <w:sz w:val="22"/>
        </w:rPr>
        <w:t xml:space="preserve">uscrito por </w:t>
      </w:r>
      <w:r w:rsidR="00A558D9">
        <w:rPr>
          <w:rFonts w:ascii="Arial" w:hAnsi="Arial" w:cs="Arial"/>
          <w:color w:val="000000" w:themeColor="text1"/>
          <w:sz w:val="22"/>
        </w:rPr>
        <w:t>Evans Jean, SANTA CRUZ CHAMORRO</w:t>
      </w:r>
      <w:r w:rsidR="00105995">
        <w:rPr>
          <w:rFonts w:ascii="Arial" w:hAnsi="Arial" w:cs="Arial"/>
          <w:color w:val="000000" w:themeColor="text1"/>
          <w:sz w:val="22"/>
        </w:rPr>
        <w:t xml:space="preserve">, </w:t>
      </w:r>
      <w:r w:rsidR="00256DEF">
        <w:rPr>
          <w:rFonts w:ascii="Arial" w:hAnsi="Arial" w:cs="Arial"/>
          <w:color w:val="000000" w:themeColor="text1"/>
          <w:sz w:val="22"/>
        </w:rPr>
        <w:t>donde s</w:t>
      </w:r>
      <w:r w:rsidR="00105995">
        <w:rPr>
          <w:rFonts w:ascii="Arial" w:hAnsi="Arial" w:cs="Arial"/>
          <w:color w:val="000000" w:themeColor="text1"/>
          <w:sz w:val="22"/>
        </w:rPr>
        <w:t xml:space="preserve">olicita </w:t>
      </w:r>
      <w:r w:rsidR="00A558D9">
        <w:rPr>
          <w:rFonts w:ascii="Arial" w:hAnsi="Arial" w:cs="Arial"/>
          <w:color w:val="000000" w:themeColor="text1"/>
          <w:sz w:val="22"/>
        </w:rPr>
        <w:t>la reserva de plaza</w:t>
      </w:r>
      <w:r w:rsidR="008A3BCB">
        <w:rPr>
          <w:rFonts w:ascii="Arial" w:hAnsi="Arial" w:cs="Arial"/>
          <w:color w:val="000000" w:themeColor="text1"/>
          <w:sz w:val="22"/>
        </w:rPr>
        <w:t>.</w:t>
      </w:r>
    </w:p>
    <w:p w14:paraId="5E9B445C" w14:textId="58839444" w:rsidR="00C85521" w:rsidRPr="00C10D22" w:rsidRDefault="00A558D9" w:rsidP="00DB097B">
      <w:pPr>
        <w:jc w:val="both"/>
        <w:rPr>
          <w:rFonts w:ascii="Arial" w:hAnsi="Arial" w:cs="Arial"/>
          <w:color w:val="000000" w:themeColor="text1"/>
          <w:sz w:val="22"/>
        </w:rPr>
      </w:pPr>
      <w:r>
        <w:rPr>
          <w:rFonts w:ascii="Arial" w:hAnsi="Arial" w:cs="Arial"/>
          <w:color w:val="000000" w:themeColor="text1"/>
          <w:sz w:val="22"/>
        </w:rPr>
        <w:t xml:space="preserve">2.2.- Carta N° </w:t>
      </w:r>
      <w:r w:rsidRPr="00397B7A">
        <w:rPr>
          <w:rFonts w:ascii="Arial" w:hAnsi="Arial" w:cs="Arial"/>
          <w:bCs/>
          <w:color w:val="000000" w:themeColor="text1"/>
          <w:sz w:val="22"/>
        </w:rPr>
        <w:t>0</w:t>
      </w:r>
      <w:r>
        <w:rPr>
          <w:rFonts w:ascii="Arial" w:hAnsi="Arial" w:cs="Arial"/>
          <w:bCs/>
          <w:color w:val="000000" w:themeColor="text1"/>
          <w:sz w:val="22"/>
        </w:rPr>
        <w:t>17</w:t>
      </w:r>
      <w:r w:rsidRPr="00397B7A">
        <w:rPr>
          <w:rFonts w:ascii="Arial" w:hAnsi="Arial" w:cs="Arial"/>
          <w:bCs/>
          <w:color w:val="000000" w:themeColor="text1"/>
          <w:sz w:val="22"/>
        </w:rPr>
        <w:t>-2023/GOB.REG.HVCA/DIRESA/HPT-OA-UGRH</w:t>
      </w:r>
      <w:r>
        <w:rPr>
          <w:rFonts w:ascii="Arial" w:hAnsi="Arial" w:cs="Arial"/>
          <w:bCs/>
          <w:color w:val="000000" w:themeColor="text1"/>
          <w:sz w:val="22"/>
        </w:rPr>
        <w:t>, de fecha 01 de marzo del 2023 la Unidad de Gestión de Recursos Humanos</w:t>
      </w:r>
      <w:r w:rsidR="009A5D71">
        <w:rPr>
          <w:rFonts w:ascii="Arial" w:hAnsi="Arial" w:cs="Arial"/>
          <w:color w:val="000000" w:themeColor="text1"/>
          <w:sz w:val="22"/>
        </w:rPr>
        <w:t xml:space="preserve">, donde le </w:t>
      </w:r>
      <w:r w:rsidR="00CE73A5">
        <w:rPr>
          <w:rFonts w:ascii="Arial" w:hAnsi="Arial" w:cs="Arial"/>
          <w:color w:val="000000" w:themeColor="text1"/>
          <w:sz w:val="22"/>
        </w:rPr>
        <w:t>de</w:t>
      </w:r>
      <w:r w:rsidR="009A5D71">
        <w:rPr>
          <w:rFonts w:ascii="Arial" w:hAnsi="Arial" w:cs="Arial"/>
          <w:color w:val="000000" w:themeColor="text1"/>
          <w:sz w:val="22"/>
        </w:rPr>
        <w:t>clara improcedente la petición de reserva de plaza</w:t>
      </w:r>
      <w:r>
        <w:rPr>
          <w:rFonts w:ascii="Arial" w:hAnsi="Arial" w:cs="Arial"/>
          <w:color w:val="000000" w:themeColor="text1"/>
          <w:sz w:val="22"/>
        </w:rPr>
        <w:t xml:space="preserve"> </w:t>
      </w:r>
    </w:p>
    <w:p w14:paraId="059A5EAF" w14:textId="77777777" w:rsidR="002A7577" w:rsidRPr="00C10D22" w:rsidRDefault="00C85521" w:rsidP="00105995">
      <w:pPr>
        <w:jc w:val="both"/>
        <w:rPr>
          <w:rFonts w:ascii="Arial" w:hAnsi="Arial" w:cs="Arial"/>
          <w:color w:val="000000" w:themeColor="text1"/>
          <w:sz w:val="22"/>
        </w:rPr>
      </w:pPr>
      <w:r w:rsidRPr="00C10D22">
        <w:rPr>
          <w:rFonts w:ascii="Arial" w:hAnsi="Arial" w:cs="Arial"/>
          <w:color w:val="000000" w:themeColor="text1"/>
          <w:sz w:val="22"/>
        </w:rPr>
        <w:tab/>
      </w:r>
    </w:p>
    <w:p w14:paraId="0E2F0A36" w14:textId="77777777" w:rsidR="002A7577" w:rsidRPr="00C10D22" w:rsidRDefault="002A7577" w:rsidP="00DB097B">
      <w:pPr>
        <w:jc w:val="both"/>
        <w:rPr>
          <w:rFonts w:ascii="Arial" w:hAnsi="Arial" w:cs="Arial"/>
          <w:b/>
          <w:color w:val="000000" w:themeColor="text1"/>
        </w:rPr>
      </w:pPr>
      <w:r w:rsidRPr="00C10D22">
        <w:rPr>
          <w:rFonts w:ascii="Arial" w:hAnsi="Arial" w:cs="Arial"/>
          <w:b/>
          <w:color w:val="000000" w:themeColor="text1"/>
          <w:sz w:val="22"/>
        </w:rPr>
        <w:t xml:space="preserve">III. </w:t>
      </w:r>
      <w:r w:rsidRPr="00C10D22">
        <w:rPr>
          <w:rFonts w:ascii="Arial" w:hAnsi="Arial" w:cs="Arial"/>
          <w:b/>
          <w:color w:val="000000" w:themeColor="text1"/>
        </w:rPr>
        <w:t>ASPECTO NORMATIVO:</w:t>
      </w:r>
    </w:p>
    <w:p w14:paraId="3DA77AA8" w14:textId="77777777" w:rsidR="002A7577" w:rsidRPr="00C10D22" w:rsidRDefault="002A7577" w:rsidP="00DB097B">
      <w:pPr>
        <w:jc w:val="both"/>
        <w:rPr>
          <w:rFonts w:ascii="Arial" w:hAnsi="Arial" w:cs="Arial"/>
          <w:b/>
          <w:color w:val="000000" w:themeColor="text1"/>
        </w:rPr>
      </w:pPr>
    </w:p>
    <w:p w14:paraId="5D194BFB" w14:textId="364400DD" w:rsidR="00256DEF" w:rsidRDefault="00105995" w:rsidP="00256DEF">
      <w:pPr>
        <w:jc w:val="both"/>
        <w:rPr>
          <w:rFonts w:ascii="Arial" w:hAnsi="Arial" w:cs="Arial"/>
          <w:color w:val="000000" w:themeColor="text1"/>
          <w:sz w:val="22"/>
        </w:rPr>
      </w:pPr>
      <w:r>
        <w:rPr>
          <w:rFonts w:ascii="Arial" w:hAnsi="Arial" w:cs="Arial"/>
          <w:color w:val="000000" w:themeColor="text1"/>
          <w:sz w:val="22"/>
          <w:szCs w:val="22"/>
        </w:rPr>
        <w:t>3.1</w:t>
      </w:r>
      <w:r w:rsidR="00101441" w:rsidRPr="00C10D22">
        <w:rPr>
          <w:rFonts w:ascii="Arial" w:hAnsi="Arial" w:cs="Arial"/>
          <w:color w:val="000000" w:themeColor="text1"/>
          <w:sz w:val="22"/>
          <w:szCs w:val="22"/>
        </w:rPr>
        <w:t xml:space="preserve">.- </w:t>
      </w:r>
      <w:r w:rsidR="00523B12" w:rsidRPr="00C10D22">
        <w:rPr>
          <w:rFonts w:ascii="Arial" w:hAnsi="Arial" w:cs="Arial"/>
          <w:color w:val="000000" w:themeColor="text1"/>
          <w:sz w:val="22"/>
          <w:szCs w:val="22"/>
        </w:rPr>
        <w:t xml:space="preserve">  </w:t>
      </w:r>
      <w:r w:rsidRPr="00256DEF">
        <w:rPr>
          <w:rFonts w:ascii="Arial" w:hAnsi="Arial" w:cs="Arial"/>
          <w:color w:val="000000" w:themeColor="text1"/>
          <w:sz w:val="22"/>
        </w:rPr>
        <w:t xml:space="preserve">Que </w:t>
      </w:r>
      <w:r w:rsidR="008A3BCB">
        <w:rPr>
          <w:rFonts w:ascii="Arial" w:hAnsi="Arial" w:cs="Arial"/>
          <w:color w:val="000000" w:themeColor="text1"/>
          <w:sz w:val="22"/>
        </w:rPr>
        <w:t>l</w:t>
      </w:r>
      <w:r w:rsidR="00256DEF" w:rsidRPr="00256DEF">
        <w:rPr>
          <w:rFonts w:ascii="Arial" w:hAnsi="Arial" w:cs="Arial"/>
          <w:color w:val="000000" w:themeColor="text1"/>
          <w:sz w:val="22"/>
        </w:rPr>
        <w:t>os recursos administrativos se encuentran estrechamente vinculados al hecho que el administrado posee </w:t>
      </w:r>
      <w:r w:rsidR="00256DEF" w:rsidRPr="00256DEF">
        <w:rPr>
          <w:rFonts w:ascii="Arial" w:hAnsi="Arial" w:cs="Arial"/>
          <w:b/>
          <w:bCs/>
          <w:color w:val="000000" w:themeColor="text1"/>
          <w:sz w:val="22"/>
        </w:rPr>
        <w:t>derechos y garantías</w:t>
      </w:r>
      <w:r w:rsidR="00256DEF" w:rsidRPr="00256DEF">
        <w:rPr>
          <w:rFonts w:ascii="Arial" w:hAnsi="Arial" w:cs="Arial"/>
          <w:color w:val="000000" w:themeColor="text1"/>
          <w:sz w:val="22"/>
        </w:rPr>
        <w:t> a lo largo de un procedimiento. Una de esas garantías es la </w:t>
      </w:r>
      <w:r w:rsidR="00256DEF" w:rsidRPr="00256DEF">
        <w:rPr>
          <w:rFonts w:ascii="Arial" w:hAnsi="Arial" w:cs="Arial"/>
          <w:b/>
          <w:bCs/>
          <w:color w:val="000000" w:themeColor="text1"/>
          <w:sz w:val="22"/>
        </w:rPr>
        <w:t>facultad de contradicción</w:t>
      </w:r>
      <w:r w:rsidR="00256DEF" w:rsidRPr="00256DEF">
        <w:rPr>
          <w:rFonts w:ascii="Arial" w:hAnsi="Arial" w:cs="Arial"/>
          <w:color w:val="000000" w:themeColor="text1"/>
          <w:sz w:val="22"/>
        </w:rPr>
        <w:t>, que se encuentra reconocida en el art. 120 del </w:t>
      </w:r>
      <w:hyperlink r:id="rId8" w:tgtFrame="_blank" w:history="1">
        <w:r w:rsidR="00256DEF" w:rsidRPr="00256DEF">
          <w:rPr>
            <w:rFonts w:ascii="Arial" w:hAnsi="Arial" w:cs="Arial"/>
            <w:color w:val="000000" w:themeColor="text1"/>
            <w:sz w:val="22"/>
          </w:rPr>
          <w:t>TUO de la Ley 27444</w:t>
        </w:r>
      </w:hyperlink>
      <w:r w:rsidR="00256DEF" w:rsidRPr="00256DEF">
        <w:rPr>
          <w:rFonts w:ascii="Arial" w:hAnsi="Arial" w:cs="Arial"/>
          <w:color w:val="000000" w:themeColor="text1"/>
          <w:sz w:val="22"/>
        </w:rPr>
        <w:t>.</w:t>
      </w:r>
      <w:r w:rsidR="00256DEF">
        <w:rPr>
          <w:rFonts w:ascii="Arial" w:hAnsi="Arial" w:cs="Arial"/>
          <w:color w:val="000000" w:themeColor="text1"/>
          <w:sz w:val="22"/>
        </w:rPr>
        <w:t xml:space="preserve"> </w:t>
      </w:r>
      <w:r w:rsidR="00256DEF" w:rsidRPr="00256DEF">
        <w:rPr>
          <w:rFonts w:ascii="Arial" w:hAnsi="Arial" w:cs="Arial"/>
          <w:color w:val="000000" w:themeColor="text1"/>
          <w:sz w:val="22"/>
        </w:rPr>
        <w:t>La mencionada norma señala que procede la </w:t>
      </w:r>
      <w:r w:rsidR="00256DEF" w:rsidRPr="00256DEF">
        <w:rPr>
          <w:rFonts w:ascii="Arial" w:hAnsi="Arial" w:cs="Arial"/>
          <w:b/>
          <w:bCs/>
          <w:color w:val="000000" w:themeColor="text1"/>
          <w:sz w:val="22"/>
        </w:rPr>
        <w:t>contradicción</w:t>
      </w:r>
      <w:r w:rsidR="00256DEF" w:rsidRPr="00256DEF">
        <w:rPr>
          <w:rFonts w:ascii="Arial" w:hAnsi="Arial" w:cs="Arial"/>
          <w:color w:val="000000" w:themeColor="text1"/>
          <w:sz w:val="22"/>
        </w:rPr>
        <w:t> frente a un acto que supone que viola, afecta, desconoce o lesiona un derecho o un interés legítimo. En esa línea, una de las formas mediante las cuales opera la facultad de contradicción es la </w:t>
      </w:r>
      <w:r w:rsidR="00256DEF" w:rsidRPr="00256DEF">
        <w:rPr>
          <w:rFonts w:ascii="Arial" w:hAnsi="Arial" w:cs="Arial"/>
          <w:b/>
          <w:bCs/>
          <w:color w:val="000000" w:themeColor="text1"/>
          <w:sz w:val="22"/>
        </w:rPr>
        <w:t>interposición de recursos administrativos</w:t>
      </w:r>
      <w:r w:rsidR="00256DEF" w:rsidRPr="00256DEF">
        <w:rPr>
          <w:rFonts w:ascii="Arial" w:hAnsi="Arial" w:cs="Arial"/>
          <w:color w:val="000000" w:themeColor="text1"/>
          <w:sz w:val="22"/>
        </w:rPr>
        <w:t>.</w:t>
      </w:r>
    </w:p>
    <w:p w14:paraId="2E84CAEE" w14:textId="77777777" w:rsidR="00256DEF" w:rsidRDefault="00256DEF" w:rsidP="00256DEF">
      <w:pPr>
        <w:jc w:val="both"/>
        <w:rPr>
          <w:rFonts w:ascii="Arial" w:hAnsi="Arial" w:cs="Arial"/>
          <w:color w:val="000000" w:themeColor="text1"/>
          <w:sz w:val="22"/>
        </w:rPr>
      </w:pPr>
    </w:p>
    <w:p w14:paraId="3769D1C5" w14:textId="77777777" w:rsidR="00256DEF" w:rsidRDefault="00256DEF" w:rsidP="00256DEF">
      <w:pPr>
        <w:pStyle w:val="Prrafodelista"/>
        <w:numPr>
          <w:ilvl w:val="0"/>
          <w:numId w:val="7"/>
        </w:numPr>
        <w:jc w:val="both"/>
        <w:rPr>
          <w:rFonts w:ascii="Arial" w:hAnsi="Arial" w:cs="Arial"/>
          <w:color w:val="000000" w:themeColor="text1"/>
        </w:rPr>
      </w:pPr>
      <w:r w:rsidRPr="00256DEF">
        <w:rPr>
          <w:rFonts w:ascii="Arial" w:hAnsi="Arial" w:cs="Arial"/>
          <w:color w:val="000000" w:themeColor="text1"/>
        </w:rPr>
        <w:t>La reconsideración se encuentra establecido en el TUO de la Ley 27444</w:t>
      </w:r>
      <w:r>
        <w:rPr>
          <w:rFonts w:ascii="Arial" w:hAnsi="Arial" w:cs="Arial"/>
          <w:color w:val="000000" w:themeColor="text1"/>
        </w:rPr>
        <w:t xml:space="preserve">; </w:t>
      </w:r>
      <w:r w:rsidRPr="00256DEF">
        <w:rPr>
          <w:rFonts w:ascii="Arial" w:hAnsi="Arial" w:cs="Arial"/>
          <w:color w:val="000000" w:themeColor="text1"/>
        </w:rPr>
        <w:t>Artículo 219.- Recurso de reconsideración señala “El recurso de reconsideración se interpondrá ante el mismo órgano que dictó el primer acto que es materia de la impugnación y deberá sustentarse en nueva prueba. En los casos de actos administrativos emitidos por órganos que constituyen única instancia no se requiere nueva prueba. Est</w:t>
      </w:r>
      <w:bookmarkStart w:id="0" w:name="_GoBack"/>
      <w:bookmarkEnd w:id="0"/>
      <w:r w:rsidRPr="00256DEF">
        <w:rPr>
          <w:rFonts w:ascii="Arial" w:hAnsi="Arial" w:cs="Arial"/>
          <w:color w:val="000000" w:themeColor="text1"/>
        </w:rPr>
        <w:t>e recurso es opcional y su no interposición no impide el ejercicio del recurso de apelación”.</w:t>
      </w:r>
    </w:p>
    <w:p w14:paraId="71A14D14" w14:textId="77777777" w:rsidR="006F6D08" w:rsidRPr="006F6D08" w:rsidRDefault="00CB70E9" w:rsidP="00CB70E9">
      <w:pPr>
        <w:pStyle w:val="NormalWeb"/>
        <w:shd w:val="clear" w:color="auto" w:fill="FFFFFF"/>
        <w:spacing w:before="0" w:beforeAutospacing="0" w:after="390" w:afterAutospacing="0"/>
        <w:jc w:val="both"/>
        <w:rPr>
          <w:rFonts w:ascii="Arial" w:hAnsi="Arial" w:cs="Arial"/>
          <w:color w:val="000000" w:themeColor="text1"/>
          <w:sz w:val="22"/>
          <w:lang w:eastAsia="es-ES"/>
        </w:rPr>
      </w:pPr>
      <w:r>
        <w:rPr>
          <w:rFonts w:ascii="Arial" w:hAnsi="Arial" w:cs="Arial"/>
          <w:color w:val="000000" w:themeColor="text1"/>
          <w:sz w:val="22"/>
          <w:lang w:eastAsia="es-ES"/>
        </w:rPr>
        <w:lastRenderedPageBreak/>
        <w:t>En ese orden de ideas el</w:t>
      </w:r>
      <w:r w:rsidR="006F6D08" w:rsidRPr="006F6D08">
        <w:rPr>
          <w:rFonts w:ascii="Arial" w:hAnsi="Arial" w:cs="Arial"/>
          <w:color w:val="000000" w:themeColor="text1"/>
          <w:sz w:val="22"/>
          <w:lang w:eastAsia="es-ES"/>
        </w:rPr>
        <w:t xml:space="preserve"> recurso de reconsideración consiste en que la </w:t>
      </w:r>
      <w:r w:rsidR="006F6D08" w:rsidRPr="006F6D08">
        <w:rPr>
          <w:rFonts w:ascii="Arial" w:hAnsi="Arial" w:cs="Arial"/>
          <w:b/>
          <w:bCs/>
          <w:color w:val="000000" w:themeColor="text1"/>
          <w:sz w:val="22"/>
          <w:lang w:eastAsia="es-ES"/>
        </w:rPr>
        <w:t>misma autoridad administrativa</w:t>
      </w:r>
      <w:r w:rsidR="006F6D08" w:rsidRPr="006F6D08">
        <w:rPr>
          <w:rFonts w:ascii="Arial" w:hAnsi="Arial" w:cs="Arial"/>
          <w:color w:val="000000" w:themeColor="text1"/>
          <w:sz w:val="22"/>
          <w:lang w:eastAsia="es-ES"/>
        </w:rPr>
        <w:t> que conoció el procedimiento y emitió el acto administrativo revise nuevamente el expediente y subsane errores. En palabras de Morón Urbina, el hecho que sea la misma autoridad la que ya conozca el expediente implicará que esta “podrá dictar una resolución con mayor celeridad que otra autoridad que recién conozca de los hechos”</w:t>
      </w:r>
      <w:bookmarkStart w:id="1" w:name="_ftnref3"/>
      <w:r w:rsidR="006F6D08" w:rsidRPr="006F6D08">
        <w:rPr>
          <w:rFonts w:ascii="Arial" w:hAnsi="Arial" w:cs="Arial"/>
          <w:color w:val="000000" w:themeColor="text1"/>
          <w:sz w:val="22"/>
          <w:lang w:eastAsia="es-ES"/>
        </w:rPr>
        <w:fldChar w:fldCharType="begin"/>
      </w:r>
      <w:r w:rsidR="006F6D08" w:rsidRPr="006F6D08">
        <w:rPr>
          <w:rFonts w:ascii="Arial" w:hAnsi="Arial" w:cs="Arial"/>
          <w:color w:val="000000" w:themeColor="text1"/>
          <w:sz w:val="22"/>
          <w:lang w:eastAsia="es-ES"/>
        </w:rPr>
        <w:instrText xml:space="preserve"> HYPERLINK "https://lpderecho.pe/recursos-administrativos-reconsideracion-apelacion-revision/" \l "_ftn3" </w:instrText>
      </w:r>
      <w:r w:rsidR="006F6D08" w:rsidRPr="006F6D08">
        <w:rPr>
          <w:rFonts w:ascii="Arial" w:hAnsi="Arial" w:cs="Arial"/>
          <w:color w:val="000000" w:themeColor="text1"/>
          <w:sz w:val="22"/>
          <w:lang w:eastAsia="es-ES"/>
        </w:rPr>
        <w:fldChar w:fldCharType="separate"/>
      </w:r>
      <w:r w:rsidR="006F6D08" w:rsidRPr="006F6D08">
        <w:rPr>
          <w:rFonts w:ascii="Arial" w:hAnsi="Arial" w:cs="Arial"/>
          <w:color w:val="000000" w:themeColor="text1"/>
          <w:sz w:val="22"/>
          <w:lang w:eastAsia="es-ES"/>
        </w:rPr>
        <w:t>[3]</w:t>
      </w:r>
      <w:r w:rsidR="006F6D08" w:rsidRPr="006F6D08">
        <w:rPr>
          <w:rFonts w:ascii="Arial" w:hAnsi="Arial" w:cs="Arial"/>
          <w:color w:val="000000" w:themeColor="text1"/>
          <w:sz w:val="22"/>
          <w:lang w:eastAsia="es-ES"/>
        </w:rPr>
        <w:fldChar w:fldCharType="end"/>
      </w:r>
      <w:bookmarkEnd w:id="1"/>
      <w:r w:rsidR="006F6D08" w:rsidRPr="006F6D08">
        <w:rPr>
          <w:rFonts w:ascii="Arial" w:hAnsi="Arial" w:cs="Arial"/>
          <w:color w:val="000000" w:themeColor="text1"/>
          <w:sz w:val="22"/>
          <w:lang w:eastAsia="es-ES"/>
        </w:rPr>
        <w:t>. En consecuencia, si tal autoridad toma nota de su error, a partir del recurso administrativo, esta cambiará el sentido de su decisión para evitar el control posterior del superior.</w:t>
      </w:r>
      <w:r w:rsidR="006F6D08">
        <w:rPr>
          <w:rFonts w:ascii="Arial" w:hAnsi="Arial" w:cs="Arial"/>
          <w:color w:val="000000" w:themeColor="text1"/>
          <w:sz w:val="22"/>
          <w:lang w:eastAsia="es-ES"/>
        </w:rPr>
        <w:t xml:space="preserve"> </w:t>
      </w:r>
      <w:r w:rsidR="006F6D08" w:rsidRPr="006F6D08">
        <w:rPr>
          <w:rFonts w:ascii="Arial" w:hAnsi="Arial" w:cs="Arial"/>
          <w:color w:val="000000" w:themeColor="text1"/>
          <w:sz w:val="22"/>
          <w:lang w:eastAsia="es-ES"/>
        </w:rPr>
        <w:t>Por ello, el recurso de reconsideración tiene como objeto que la misma autoridad que decidió en el acto administrativo impugnado tome cuenta de su propio error y modifique su decisión. Dicha decisión será más rápida porque fue la misma autoridad</w:t>
      </w:r>
    </w:p>
    <w:p w14:paraId="0CF40BA0" w14:textId="4D89F6E1" w:rsidR="006F6D08" w:rsidRDefault="00105995" w:rsidP="00CB70E9">
      <w:pPr>
        <w:jc w:val="both"/>
        <w:rPr>
          <w:rFonts w:ascii="Arial" w:hAnsi="Arial" w:cs="Arial"/>
          <w:color w:val="000000" w:themeColor="text1"/>
          <w:sz w:val="22"/>
        </w:rPr>
      </w:pPr>
      <w:r>
        <w:rPr>
          <w:rFonts w:ascii="Arial" w:hAnsi="Arial" w:cs="Arial"/>
          <w:color w:val="000000" w:themeColor="text1"/>
          <w:sz w:val="22"/>
          <w:szCs w:val="22"/>
        </w:rPr>
        <w:t xml:space="preserve">3.2.- </w:t>
      </w:r>
      <w:r w:rsidRPr="00CB70E9">
        <w:rPr>
          <w:rFonts w:ascii="Arial" w:hAnsi="Arial" w:cs="Arial"/>
          <w:color w:val="000000" w:themeColor="text1"/>
          <w:sz w:val="22"/>
        </w:rPr>
        <w:t xml:space="preserve">Que </w:t>
      </w:r>
      <w:r w:rsidR="00CB70E9" w:rsidRPr="00CB70E9">
        <w:rPr>
          <w:rFonts w:ascii="Arial" w:hAnsi="Arial" w:cs="Arial"/>
          <w:color w:val="000000" w:themeColor="text1"/>
          <w:sz w:val="22"/>
        </w:rPr>
        <w:t>dentro del recurso de reconsideración l</w:t>
      </w:r>
      <w:r w:rsidR="006F6D08" w:rsidRPr="00CB70E9">
        <w:rPr>
          <w:rFonts w:ascii="Arial" w:hAnsi="Arial" w:cs="Arial"/>
          <w:color w:val="000000" w:themeColor="text1"/>
          <w:sz w:val="22"/>
        </w:rPr>
        <w:t>a nueva prueba</w:t>
      </w:r>
      <w:r w:rsidR="00CB70E9" w:rsidRPr="00CB70E9">
        <w:rPr>
          <w:rFonts w:ascii="Arial" w:hAnsi="Arial" w:cs="Arial"/>
          <w:color w:val="000000" w:themeColor="text1"/>
          <w:sz w:val="22"/>
        </w:rPr>
        <w:t xml:space="preserve"> d</w:t>
      </w:r>
      <w:r w:rsidR="006F6D08" w:rsidRPr="00CB70E9">
        <w:rPr>
          <w:rFonts w:ascii="Arial" w:hAnsi="Arial" w:cs="Arial"/>
          <w:color w:val="000000" w:themeColor="text1"/>
          <w:sz w:val="22"/>
        </w:rPr>
        <w:t>e acuerdo con el </w:t>
      </w:r>
      <w:hyperlink r:id="rId9" w:tgtFrame="_blank" w:history="1">
        <w:r w:rsidR="006F6D08" w:rsidRPr="00CB70E9">
          <w:rPr>
            <w:rFonts w:ascii="Arial" w:hAnsi="Arial" w:cs="Arial"/>
            <w:color w:val="000000" w:themeColor="text1"/>
            <w:sz w:val="22"/>
          </w:rPr>
          <w:t>TUO de la Ley 27444</w:t>
        </w:r>
      </w:hyperlink>
      <w:r w:rsidR="006F6D08" w:rsidRPr="00CB70E9">
        <w:rPr>
          <w:rFonts w:ascii="Arial" w:hAnsi="Arial" w:cs="Arial"/>
          <w:color w:val="000000" w:themeColor="text1"/>
          <w:sz w:val="22"/>
        </w:rPr>
        <w:t>, el recurso de reconsideración deberá sustentarse en una nueva prueba, la que </w:t>
      </w:r>
      <w:r w:rsidR="006F6D08" w:rsidRPr="00CB70E9">
        <w:rPr>
          <w:rFonts w:ascii="Arial" w:hAnsi="Arial" w:cs="Arial"/>
          <w:b/>
          <w:bCs/>
          <w:color w:val="000000" w:themeColor="text1"/>
          <w:sz w:val="22"/>
        </w:rPr>
        <w:t>permitirá a la autoridad administrativa tomar cuenta de su error</w:t>
      </w:r>
      <w:r w:rsidR="006F6D08" w:rsidRPr="00CB70E9">
        <w:rPr>
          <w:rFonts w:ascii="Arial" w:hAnsi="Arial" w:cs="Arial"/>
          <w:color w:val="000000" w:themeColor="text1"/>
          <w:sz w:val="22"/>
        </w:rPr>
        <w:t> y que este sea debidamente modificado. Por tanto, el papel que cumple la nueva prueba en la imposición de la reconsideración es de gran envergadura porque, de acuerdo a lo afirmado por Morón Urbina, “perdería seriedad pretender que pueda modificarlo con tan solo un nuevo pedido o una nueva argumentación sobre los mismos hechos. Para habilitar la posibilidad del cambio de criterio, la ley exige que se presente a la autoridad un hecho tangible y no evaluado con anterioridad, que amerite la reconsideración</w:t>
      </w:r>
      <w:r w:rsidR="00CB70E9">
        <w:rPr>
          <w:rFonts w:ascii="Arial" w:hAnsi="Arial" w:cs="Arial"/>
          <w:color w:val="000000" w:themeColor="text1"/>
          <w:sz w:val="22"/>
        </w:rPr>
        <w:t>.</w:t>
      </w:r>
    </w:p>
    <w:p w14:paraId="096EAB55" w14:textId="77777777" w:rsidR="00CB70E9" w:rsidRDefault="00CB70E9" w:rsidP="00CB70E9">
      <w:pPr>
        <w:jc w:val="both"/>
        <w:rPr>
          <w:rFonts w:ascii="Arial" w:hAnsi="Arial" w:cs="Arial"/>
          <w:color w:val="000000" w:themeColor="text1"/>
          <w:sz w:val="22"/>
        </w:rPr>
      </w:pPr>
    </w:p>
    <w:p w14:paraId="75AF83D0" w14:textId="77777777" w:rsidR="006F6D08" w:rsidRPr="00CB70E9" w:rsidRDefault="00CB70E9" w:rsidP="00CB70E9">
      <w:pPr>
        <w:pStyle w:val="NormalWeb"/>
        <w:shd w:val="clear" w:color="auto" w:fill="FFFFFF"/>
        <w:spacing w:before="0" w:beforeAutospacing="0" w:after="390" w:afterAutospacing="0"/>
        <w:jc w:val="both"/>
        <w:rPr>
          <w:rFonts w:ascii="Arial" w:hAnsi="Arial" w:cs="Arial"/>
          <w:sz w:val="22"/>
          <w:szCs w:val="22"/>
        </w:rPr>
      </w:pPr>
      <w:r w:rsidRPr="00CB70E9">
        <w:rPr>
          <w:rFonts w:ascii="Arial" w:hAnsi="Arial" w:cs="Arial"/>
          <w:sz w:val="22"/>
          <w:szCs w:val="22"/>
        </w:rPr>
        <w:t>Por consiguiente, la exigencia de la nueva prueba implica que el recurso de reconsideración no es una mera manifestación de “desacuerdo” con la decisión de la autoridad, sino que es un requerimiento de revisar nuevamente la propia decisión en función a un </w:t>
      </w:r>
      <w:r w:rsidRPr="00CB70E9">
        <w:rPr>
          <w:rStyle w:val="Textoennegrita"/>
          <w:rFonts w:ascii="Arial" w:hAnsi="Arial" w:cs="Arial"/>
          <w:sz w:val="22"/>
          <w:szCs w:val="22"/>
        </w:rPr>
        <w:t>nuevo medio probatorio</w:t>
      </w:r>
      <w:r w:rsidRPr="00CB70E9">
        <w:rPr>
          <w:rFonts w:ascii="Arial" w:hAnsi="Arial" w:cs="Arial"/>
          <w:sz w:val="22"/>
          <w:szCs w:val="22"/>
        </w:rPr>
        <w:t> que aporta una revelación para la administración.</w:t>
      </w:r>
      <w:r>
        <w:rPr>
          <w:rFonts w:ascii="Arial" w:hAnsi="Arial" w:cs="Arial"/>
          <w:sz w:val="22"/>
          <w:szCs w:val="22"/>
        </w:rPr>
        <w:t xml:space="preserve"> </w:t>
      </w:r>
      <w:r w:rsidRPr="00CB70E9">
        <w:rPr>
          <w:rFonts w:ascii="Arial" w:hAnsi="Arial" w:cs="Arial"/>
          <w:sz w:val="22"/>
          <w:szCs w:val="22"/>
        </w:rPr>
        <w:t>Asimismo, Morón Urbina afirma que, para determinar qué es una nueva prueba para fines del artículo 219 del </w:t>
      </w:r>
      <w:hyperlink r:id="rId10" w:tgtFrame="_blank" w:history="1">
        <w:r w:rsidRPr="00CB70E9">
          <w:rPr>
            <w:rStyle w:val="Hipervnculo"/>
            <w:rFonts w:ascii="Arial" w:hAnsi="Arial" w:cs="Arial"/>
            <w:color w:val="auto"/>
            <w:sz w:val="22"/>
            <w:szCs w:val="22"/>
            <w:u w:val="none"/>
          </w:rPr>
          <w:t>TUO de la Ley 27444</w:t>
        </w:r>
      </w:hyperlink>
      <w:r w:rsidRPr="00CB70E9">
        <w:rPr>
          <w:rFonts w:ascii="Arial" w:hAnsi="Arial" w:cs="Arial"/>
          <w:sz w:val="22"/>
          <w:szCs w:val="22"/>
        </w:rPr>
        <w:t>, es necesario diferenciar dos tipos de hechos: (i) el hecho materia de la controversia que requiere ser probado; y, (ii) el hecho o hechos que son invocados para probar el hecho controvertid</w:t>
      </w:r>
      <w:r>
        <w:rPr>
          <w:rFonts w:ascii="Arial" w:hAnsi="Arial" w:cs="Arial"/>
          <w:sz w:val="22"/>
          <w:szCs w:val="22"/>
        </w:rPr>
        <w:t>o</w:t>
      </w:r>
      <w:r w:rsidRPr="00CB70E9">
        <w:rPr>
          <w:rFonts w:ascii="Arial" w:hAnsi="Arial" w:cs="Arial"/>
          <w:sz w:val="22"/>
          <w:szCs w:val="22"/>
        </w:rPr>
        <w:t>. En esa línea, la prueba nueva se hallará en el segundo hecho, y esta buscará dar sustento al primer hecho, es decir, al hecho materia de la controversia que busca ser probado.</w:t>
      </w:r>
    </w:p>
    <w:p w14:paraId="6960BBA5" w14:textId="68DBA65C" w:rsidR="003F1A4F" w:rsidRDefault="00105995" w:rsidP="00DB097B">
      <w:pPr>
        <w:jc w:val="both"/>
        <w:rPr>
          <w:rFonts w:ascii="Arial" w:hAnsi="Arial" w:cs="Arial"/>
          <w:sz w:val="22"/>
          <w:szCs w:val="22"/>
          <w:lang w:eastAsia="es-PE"/>
        </w:rPr>
      </w:pPr>
      <w:r>
        <w:rPr>
          <w:rFonts w:ascii="Arial" w:hAnsi="Arial" w:cs="Arial"/>
          <w:color w:val="000000" w:themeColor="text1"/>
          <w:sz w:val="22"/>
          <w:szCs w:val="22"/>
        </w:rPr>
        <w:t xml:space="preserve">3.3.- </w:t>
      </w:r>
      <w:r w:rsidR="00362916" w:rsidRPr="003F1A4F">
        <w:rPr>
          <w:rFonts w:ascii="Arial" w:hAnsi="Arial" w:cs="Arial"/>
          <w:sz w:val="22"/>
          <w:szCs w:val="22"/>
          <w:lang w:eastAsia="es-PE"/>
        </w:rPr>
        <w:t>Visto</w:t>
      </w:r>
      <w:r w:rsidR="00CE73A5" w:rsidRPr="003F1A4F">
        <w:rPr>
          <w:rFonts w:ascii="Arial" w:hAnsi="Arial" w:cs="Arial"/>
          <w:sz w:val="22"/>
          <w:szCs w:val="22"/>
          <w:lang w:eastAsia="es-PE"/>
        </w:rPr>
        <w:t xml:space="preserve">, el Informe Técnico s/n-2021-SERVIR-GPGSC, </w:t>
      </w:r>
      <w:r w:rsidR="008A3BCB">
        <w:rPr>
          <w:rFonts w:ascii="Arial" w:hAnsi="Arial" w:cs="Arial"/>
          <w:sz w:val="22"/>
          <w:szCs w:val="22"/>
          <w:lang w:eastAsia="es-PE"/>
        </w:rPr>
        <w:t>mediante el cual</w:t>
      </w:r>
      <w:r w:rsidR="003F1A4F" w:rsidRPr="003F1A4F">
        <w:rPr>
          <w:rFonts w:ascii="Arial" w:hAnsi="Arial" w:cs="Arial"/>
          <w:sz w:val="22"/>
          <w:szCs w:val="22"/>
          <w:lang w:eastAsia="es-PE"/>
        </w:rPr>
        <w:t xml:space="preserve"> hace referencia Sobre la licencia sin goce de haber por desempeñar cargo de confianza, en cuyo contenido concluye en el numeral 2.10</w:t>
      </w:r>
      <w:r w:rsidR="003F1A4F">
        <w:rPr>
          <w:rFonts w:ascii="Arial" w:hAnsi="Arial" w:cs="Arial"/>
          <w:sz w:val="22"/>
          <w:szCs w:val="22"/>
          <w:lang w:eastAsia="es-PE"/>
        </w:rPr>
        <w:t xml:space="preserve"> lo siguiente:</w:t>
      </w:r>
    </w:p>
    <w:p w14:paraId="3AB2E127" w14:textId="559B6E0F" w:rsidR="00105995" w:rsidRDefault="008D74BE" w:rsidP="003F1A4F">
      <w:pPr>
        <w:autoSpaceDE w:val="0"/>
        <w:autoSpaceDN w:val="0"/>
        <w:adjustRightInd w:val="0"/>
        <w:jc w:val="both"/>
        <w:rPr>
          <w:rFonts w:ascii="Arial" w:hAnsi="Arial" w:cs="Arial"/>
          <w:color w:val="000000" w:themeColor="text1"/>
          <w:sz w:val="22"/>
          <w:szCs w:val="22"/>
        </w:rPr>
      </w:pPr>
      <w:r>
        <w:rPr>
          <w:rFonts w:ascii="Arial" w:hAnsi="Arial" w:cs="Arial"/>
          <w:sz w:val="22"/>
          <w:szCs w:val="22"/>
          <w:lang w:eastAsia="es-PE"/>
        </w:rPr>
        <w:t>“…</w:t>
      </w:r>
      <w:r w:rsidR="008A3BCB">
        <w:rPr>
          <w:rFonts w:ascii="Arial" w:hAnsi="Arial" w:cs="Arial"/>
          <w:sz w:val="22"/>
          <w:szCs w:val="22"/>
          <w:lang w:eastAsia="es-PE"/>
        </w:rPr>
        <w:t xml:space="preserve"> </w:t>
      </w:r>
      <w:r w:rsidR="008A3BCB" w:rsidRPr="008A3BCB">
        <w:rPr>
          <w:rFonts w:ascii="Arial" w:hAnsi="Arial" w:cs="Arial"/>
          <w:i/>
          <w:iCs/>
          <w:sz w:val="22"/>
          <w:szCs w:val="22"/>
          <w:lang w:eastAsia="es-PE"/>
        </w:rPr>
        <w:t>L</w:t>
      </w:r>
      <w:r w:rsidR="003F1A4F" w:rsidRPr="008A3BCB">
        <w:rPr>
          <w:rFonts w:ascii="Arial" w:hAnsi="Arial" w:cs="Arial"/>
          <w:i/>
          <w:iCs/>
          <w:sz w:val="22"/>
          <w:szCs w:val="22"/>
          <w:lang w:eastAsia="es-PE"/>
        </w:rPr>
        <w:t xml:space="preserve">as designaciones en el caso de los servidores de carrera o nombrados, se realiza con reserva de la plaza de carrera en la entidad de origen, para que cuando culmine la designación el servidor retorne1 a su puesto de origen a fin de reasumir sus funciones del nivel que corresponde. No obstante, los servidores que no sean de carrera, al darse por terminada la confianza, concluye la relación con el Estado </w:t>
      </w:r>
      <w:r w:rsidR="003F1A4F" w:rsidRPr="008A3BCB">
        <w:rPr>
          <w:rFonts w:ascii="Arial" w:hAnsi="Arial" w:cs="Arial"/>
          <w:b/>
          <w:i/>
          <w:iCs/>
          <w:sz w:val="22"/>
          <w:szCs w:val="22"/>
          <w:lang w:eastAsia="es-PE"/>
        </w:rPr>
        <w:t>(salvo que se trate de servidores contratados de manera permanente bajo dicho régimen, según Ley N° 24041</w:t>
      </w:r>
      <w:r w:rsidR="003F1A4F" w:rsidRPr="003F1A4F">
        <w:rPr>
          <w:rFonts w:ascii="Arial" w:hAnsi="Arial" w:cs="Arial"/>
          <w:b/>
          <w:sz w:val="22"/>
          <w:szCs w:val="22"/>
          <w:lang w:eastAsia="es-PE"/>
        </w:rPr>
        <w:t>)</w:t>
      </w:r>
      <w:r w:rsidR="008A3BCB">
        <w:rPr>
          <w:rFonts w:ascii="Arial" w:hAnsi="Arial" w:cs="Arial"/>
          <w:b/>
          <w:sz w:val="22"/>
          <w:szCs w:val="22"/>
          <w:lang w:eastAsia="es-PE"/>
        </w:rPr>
        <w:t>”</w:t>
      </w:r>
      <w:r w:rsidR="003F1A4F" w:rsidRPr="003F1A4F">
        <w:rPr>
          <w:rFonts w:ascii="Arial" w:hAnsi="Arial" w:cs="Arial"/>
          <w:b/>
          <w:sz w:val="22"/>
          <w:szCs w:val="22"/>
          <w:lang w:eastAsia="es-PE"/>
        </w:rPr>
        <w:t>.</w:t>
      </w:r>
      <w:r w:rsidR="00CE73A5" w:rsidRPr="003F1A4F">
        <w:rPr>
          <w:rFonts w:ascii="Arial" w:hAnsi="Arial" w:cs="Arial"/>
          <w:sz w:val="22"/>
          <w:szCs w:val="22"/>
          <w:lang w:eastAsia="es-PE"/>
        </w:rPr>
        <w:t xml:space="preserve">    </w:t>
      </w:r>
    </w:p>
    <w:p w14:paraId="7B74662A" w14:textId="77777777" w:rsidR="000B65CA" w:rsidRDefault="000B65CA" w:rsidP="00DB097B">
      <w:pPr>
        <w:jc w:val="both"/>
        <w:rPr>
          <w:rFonts w:ascii="Arial" w:hAnsi="Arial" w:cs="Arial"/>
          <w:color w:val="000000" w:themeColor="text1"/>
          <w:sz w:val="22"/>
          <w:szCs w:val="22"/>
        </w:rPr>
      </w:pPr>
    </w:p>
    <w:p w14:paraId="3B8040A9" w14:textId="2F000ADC" w:rsidR="000B65CA" w:rsidRPr="00833307" w:rsidRDefault="003F1A4F" w:rsidP="00833307">
      <w:pPr>
        <w:jc w:val="both"/>
        <w:rPr>
          <w:rFonts w:ascii="Arial" w:hAnsi="Arial" w:cs="Arial"/>
          <w:sz w:val="22"/>
          <w:szCs w:val="22"/>
          <w:lang w:eastAsia="es-PE"/>
        </w:rPr>
      </w:pPr>
      <w:r>
        <w:rPr>
          <w:rFonts w:ascii="Arial" w:hAnsi="Arial" w:cs="Arial"/>
          <w:color w:val="000000" w:themeColor="text1"/>
          <w:sz w:val="22"/>
          <w:szCs w:val="22"/>
        </w:rPr>
        <w:t xml:space="preserve">3.4.- </w:t>
      </w:r>
      <w:r w:rsidRPr="00833307">
        <w:rPr>
          <w:rFonts w:ascii="Arial" w:hAnsi="Arial" w:cs="Arial"/>
          <w:sz w:val="22"/>
          <w:szCs w:val="22"/>
          <w:lang w:eastAsia="es-PE"/>
        </w:rPr>
        <w:t xml:space="preserve">El servidor Evans Jean, </w:t>
      </w:r>
      <w:r w:rsidR="008A3BCB" w:rsidRPr="00833307">
        <w:rPr>
          <w:rFonts w:ascii="Arial" w:hAnsi="Arial" w:cs="Arial"/>
          <w:sz w:val="22"/>
          <w:szCs w:val="22"/>
          <w:lang w:eastAsia="es-PE"/>
        </w:rPr>
        <w:t xml:space="preserve">Santa Cruz Chamorro </w:t>
      </w:r>
      <w:r w:rsidRPr="00833307">
        <w:rPr>
          <w:rFonts w:ascii="Arial" w:hAnsi="Arial" w:cs="Arial"/>
          <w:sz w:val="22"/>
          <w:szCs w:val="22"/>
          <w:lang w:eastAsia="es-PE"/>
        </w:rPr>
        <w:t xml:space="preserve">cuenta con la condición de personal contratado por reposición Judicial bajo los alcances del decreto Legislativo N° 276, por consiguiente </w:t>
      </w:r>
      <w:r w:rsidR="008A3BCB">
        <w:rPr>
          <w:rFonts w:ascii="Arial" w:hAnsi="Arial" w:cs="Arial"/>
          <w:sz w:val="22"/>
          <w:szCs w:val="22"/>
          <w:lang w:eastAsia="es-PE"/>
        </w:rPr>
        <w:t>se encuentra al</w:t>
      </w:r>
      <w:r w:rsidRPr="00833307">
        <w:rPr>
          <w:rFonts w:ascii="Arial" w:hAnsi="Arial" w:cs="Arial"/>
          <w:sz w:val="22"/>
          <w:szCs w:val="22"/>
          <w:lang w:eastAsia="es-PE"/>
        </w:rPr>
        <w:t xml:space="preserve"> amparo </w:t>
      </w:r>
      <w:r w:rsidR="00833307" w:rsidRPr="00833307">
        <w:rPr>
          <w:rFonts w:ascii="Arial" w:hAnsi="Arial" w:cs="Arial"/>
          <w:sz w:val="22"/>
          <w:szCs w:val="22"/>
          <w:lang w:eastAsia="es-PE"/>
        </w:rPr>
        <w:t xml:space="preserve">del artículo 77 del Reglamento del Decreto Legislativo N° 276, aprobado mediante Decreto Supremo N° 005-90-PCM, concordante con el numeral 3.1 del Manual Normativo de Personal N° 002-92-DNP, aprobado por Resolución Directoral </w:t>
      </w:r>
      <w:r w:rsidR="00833307" w:rsidRPr="00833307">
        <w:rPr>
          <w:rFonts w:ascii="Arial" w:hAnsi="Arial" w:cs="Arial"/>
          <w:sz w:val="22"/>
          <w:szCs w:val="22"/>
          <w:lang w:eastAsia="es-PE"/>
        </w:rPr>
        <w:lastRenderedPageBreak/>
        <w:t xml:space="preserve">N° 013-92-INAPDNP, </w:t>
      </w:r>
      <w:r w:rsidR="008A3BCB" w:rsidRPr="008A3BCB">
        <w:rPr>
          <w:rFonts w:ascii="Arial" w:hAnsi="Arial" w:cs="Arial"/>
          <w:sz w:val="22"/>
          <w:szCs w:val="22"/>
          <w:lang w:eastAsia="es-PE"/>
        </w:rPr>
        <w:t>que</w:t>
      </w:r>
      <w:r w:rsidR="00833307" w:rsidRPr="00833307">
        <w:rPr>
          <w:rFonts w:ascii="Arial" w:hAnsi="Arial" w:cs="Arial"/>
          <w:sz w:val="22"/>
          <w:szCs w:val="22"/>
          <w:lang w:eastAsia="es-PE"/>
        </w:rPr>
        <w:t xml:space="preserve"> establece que la designación consiste en el desempeño de un cargo de responsabilidad directiva o de confianza por decisión de la autoridad competente en la misma o diferente entidad, e implica asumir las funciones propias de dicho cargo, así como recibir la remuneración fijada y aprobada en la escala o política remunerativa de la entidad.</w:t>
      </w:r>
    </w:p>
    <w:p w14:paraId="423D6059" w14:textId="77777777" w:rsidR="009356FE" w:rsidRPr="00833307" w:rsidRDefault="009356FE" w:rsidP="00DB097B">
      <w:pPr>
        <w:jc w:val="both"/>
        <w:rPr>
          <w:rFonts w:ascii="Arial" w:hAnsi="Arial" w:cs="Arial"/>
          <w:sz w:val="22"/>
          <w:szCs w:val="22"/>
          <w:lang w:eastAsia="es-PE"/>
        </w:rPr>
      </w:pPr>
      <w:r w:rsidRPr="00833307">
        <w:rPr>
          <w:rFonts w:ascii="Arial" w:hAnsi="Arial" w:cs="Arial"/>
          <w:sz w:val="22"/>
          <w:szCs w:val="22"/>
          <w:lang w:eastAsia="es-PE"/>
        </w:rPr>
        <w:tab/>
      </w:r>
    </w:p>
    <w:p w14:paraId="47A5FEB6" w14:textId="77777777" w:rsidR="00F171B7" w:rsidRPr="00C10D22" w:rsidRDefault="00F171B7" w:rsidP="00C10D22">
      <w:pPr>
        <w:jc w:val="both"/>
        <w:rPr>
          <w:rFonts w:ascii="Arial" w:hAnsi="Arial" w:cs="Arial"/>
          <w:b/>
          <w:color w:val="000000" w:themeColor="text1"/>
          <w:sz w:val="22"/>
          <w:szCs w:val="22"/>
        </w:rPr>
      </w:pPr>
      <w:r w:rsidRPr="00C10D22">
        <w:rPr>
          <w:rFonts w:ascii="Arial" w:hAnsi="Arial" w:cs="Arial"/>
          <w:b/>
          <w:color w:val="000000" w:themeColor="text1"/>
          <w:sz w:val="22"/>
          <w:szCs w:val="22"/>
        </w:rPr>
        <w:t>IV. CONCLUCION:</w:t>
      </w:r>
    </w:p>
    <w:p w14:paraId="462977CA" w14:textId="77777777" w:rsidR="00F171B7" w:rsidRPr="00C10D22" w:rsidRDefault="00F171B7" w:rsidP="009B049A">
      <w:pPr>
        <w:jc w:val="both"/>
        <w:rPr>
          <w:rFonts w:ascii="Arial" w:hAnsi="Arial" w:cs="Arial"/>
          <w:b/>
          <w:color w:val="000000" w:themeColor="text1"/>
          <w:sz w:val="22"/>
          <w:szCs w:val="22"/>
        </w:rPr>
      </w:pPr>
    </w:p>
    <w:p w14:paraId="5CDCED37" w14:textId="7A84F46E" w:rsidR="00487329" w:rsidRDefault="00F171B7" w:rsidP="002E2688">
      <w:pPr>
        <w:jc w:val="both"/>
        <w:rPr>
          <w:rFonts w:ascii="Arial" w:hAnsi="Arial" w:cs="Arial"/>
          <w:color w:val="000000" w:themeColor="text1"/>
          <w:sz w:val="22"/>
          <w:szCs w:val="22"/>
        </w:rPr>
      </w:pPr>
      <w:r w:rsidRPr="00C10D22">
        <w:rPr>
          <w:rFonts w:ascii="Arial" w:hAnsi="Arial" w:cs="Arial"/>
          <w:b/>
          <w:color w:val="000000" w:themeColor="text1"/>
          <w:sz w:val="22"/>
          <w:szCs w:val="22"/>
        </w:rPr>
        <w:tab/>
      </w:r>
      <w:r w:rsidRPr="008A3BCB">
        <w:rPr>
          <w:rFonts w:ascii="Arial" w:hAnsi="Arial" w:cs="Arial"/>
          <w:color w:val="000000" w:themeColor="text1"/>
          <w:sz w:val="22"/>
          <w:szCs w:val="22"/>
        </w:rPr>
        <w:t xml:space="preserve">4.1.- </w:t>
      </w:r>
      <w:r w:rsidR="008A3BCB">
        <w:rPr>
          <w:rFonts w:ascii="Arial" w:hAnsi="Arial" w:cs="Arial"/>
          <w:color w:val="000000" w:themeColor="text1"/>
          <w:sz w:val="22"/>
          <w:szCs w:val="22"/>
        </w:rPr>
        <w:t xml:space="preserve">Que, teniendo en cuenta que </w:t>
      </w:r>
      <w:r w:rsidR="008A3BCB">
        <w:rPr>
          <w:rFonts w:ascii="Arial" w:hAnsi="Arial" w:cs="Arial"/>
          <w:sz w:val="22"/>
          <w:szCs w:val="22"/>
          <w:lang w:eastAsia="es-PE"/>
        </w:rPr>
        <w:t>e</w:t>
      </w:r>
      <w:r w:rsidR="008A3BCB" w:rsidRPr="00833307">
        <w:rPr>
          <w:rFonts w:ascii="Arial" w:hAnsi="Arial" w:cs="Arial"/>
          <w:sz w:val="22"/>
          <w:szCs w:val="22"/>
          <w:lang w:eastAsia="es-PE"/>
        </w:rPr>
        <w:t xml:space="preserve">l servidor Evans Jean, Santa Cruz Chamorro </w:t>
      </w:r>
      <w:r w:rsidR="008A3BCB">
        <w:rPr>
          <w:rFonts w:ascii="Arial" w:hAnsi="Arial" w:cs="Arial"/>
          <w:sz w:val="22"/>
          <w:szCs w:val="22"/>
          <w:lang w:eastAsia="es-PE"/>
        </w:rPr>
        <w:t>es</w:t>
      </w:r>
      <w:r w:rsidR="008A3BCB" w:rsidRPr="00833307">
        <w:rPr>
          <w:rFonts w:ascii="Arial" w:hAnsi="Arial" w:cs="Arial"/>
          <w:sz w:val="22"/>
          <w:szCs w:val="22"/>
          <w:lang w:eastAsia="es-PE"/>
        </w:rPr>
        <w:t xml:space="preserve"> personal contratado por reposición Judicial bajo los alcances del decreto Legislativo N° 276</w:t>
      </w:r>
      <w:r w:rsidR="008A3BCB">
        <w:rPr>
          <w:rFonts w:ascii="Arial" w:hAnsi="Arial" w:cs="Arial"/>
          <w:sz w:val="22"/>
          <w:szCs w:val="22"/>
          <w:lang w:eastAsia="es-PE"/>
        </w:rPr>
        <w:t xml:space="preserve"> del Hospital Pampas.</w:t>
      </w:r>
    </w:p>
    <w:p w14:paraId="59A22901" w14:textId="77777777" w:rsidR="002E2688" w:rsidRPr="00C10D22" w:rsidRDefault="002E2688" w:rsidP="002E2688">
      <w:pPr>
        <w:jc w:val="both"/>
        <w:rPr>
          <w:rFonts w:ascii="Arial" w:hAnsi="Arial" w:cs="Arial"/>
          <w:color w:val="000000" w:themeColor="text1"/>
          <w:sz w:val="22"/>
          <w:szCs w:val="22"/>
        </w:rPr>
      </w:pPr>
    </w:p>
    <w:p w14:paraId="228531A5" w14:textId="77777777" w:rsidR="00F171B7" w:rsidRPr="00C10D22"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Por lo que esta Oficina de Asesoría Jurídica OPINA:</w:t>
      </w:r>
    </w:p>
    <w:p w14:paraId="6ACE5889" w14:textId="77777777" w:rsidR="0053666E" w:rsidRPr="00C10D22" w:rsidRDefault="0053666E" w:rsidP="009B049A">
      <w:pPr>
        <w:jc w:val="both"/>
        <w:rPr>
          <w:rFonts w:ascii="Arial" w:hAnsi="Arial" w:cs="Arial"/>
          <w:color w:val="000000" w:themeColor="text1"/>
          <w:sz w:val="22"/>
          <w:szCs w:val="22"/>
        </w:rPr>
      </w:pPr>
    </w:p>
    <w:p w14:paraId="0927788F" w14:textId="26BE4BE1" w:rsidR="0053666E" w:rsidRPr="000126CE"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1</w:t>
      </w:r>
      <w:r w:rsidR="00E65F1A" w:rsidRPr="00C10D22">
        <w:rPr>
          <w:rFonts w:ascii="Arial" w:hAnsi="Arial" w:cs="Arial"/>
          <w:color w:val="000000" w:themeColor="text1"/>
          <w:sz w:val="22"/>
          <w:szCs w:val="22"/>
        </w:rPr>
        <w:t xml:space="preserve">).- </w:t>
      </w:r>
      <w:r w:rsidR="00833307">
        <w:rPr>
          <w:rFonts w:ascii="Arial" w:hAnsi="Arial" w:cs="Arial"/>
          <w:color w:val="000000" w:themeColor="text1"/>
          <w:sz w:val="22"/>
          <w:szCs w:val="22"/>
        </w:rPr>
        <w:t xml:space="preserve">Declarar </w:t>
      </w:r>
      <w:r w:rsidR="001E3198" w:rsidRPr="00C10D22">
        <w:rPr>
          <w:rFonts w:ascii="Arial" w:hAnsi="Arial" w:cs="Arial"/>
          <w:b/>
          <w:color w:val="000000" w:themeColor="text1"/>
          <w:sz w:val="22"/>
          <w:szCs w:val="22"/>
        </w:rPr>
        <w:t>PROCEDENTE</w:t>
      </w:r>
      <w:r w:rsidR="00E65F1A" w:rsidRPr="00C10D22">
        <w:rPr>
          <w:rFonts w:ascii="Arial" w:hAnsi="Arial" w:cs="Arial"/>
          <w:color w:val="000000" w:themeColor="text1"/>
          <w:sz w:val="22"/>
          <w:szCs w:val="22"/>
        </w:rPr>
        <w:t xml:space="preserve"> la </w:t>
      </w:r>
      <w:r w:rsidR="009A5D71">
        <w:rPr>
          <w:rFonts w:ascii="Arial" w:hAnsi="Arial" w:cs="Arial"/>
          <w:color w:val="000000" w:themeColor="text1"/>
          <w:sz w:val="22"/>
          <w:szCs w:val="22"/>
        </w:rPr>
        <w:t xml:space="preserve">reconsideración </w:t>
      </w:r>
      <w:r w:rsidR="00E65F1A" w:rsidRPr="00C10D22">
        <w:rPr>
          <w:rFonts w:ascii="Arial" w:hAnsi="Arial" w:cs="Arial"/>
          <w:color w:val="000000" w:themeColor="text1"/>
          <w:sz w:val="22"/>
          <w:szCs w:val="22"/>
        </w:rPr>
        <w:t xml:space="preserve">de </w:t>
      </w:r>
      <w:r w:rsidR="009A5D71">
        <w:rPr>
          <w:rFonts w:ascii="Arial" w:hAnsi="Arial" w:cs="Arial"/>
          <w:color w:val="000000" w:themeColor="text1"/>
          <w:sz w:val="22"/>
          <w:szCs w:val="22"/>
        </w:rPr>
        <w:t>reserva</w:t>
      </w:r>
      <w:r w:rsidR="00833307">
        <w:rPr>
          <w:rFonts w:ascii="Arial" w:hAnsi="Arial" w:cs="Arial"/>
          <w:color w:val="000000" w:themeColor="text1"/>
          <w:sz w:val="22"/>
          <w:szCs w:val="22"/>
        </w:rPr>
        <w:t xml:space="preserve"> de plaza</w:t>
      </w:r>
      <w:r w:rsidR="00E65F1A" w:rsidRPr="00C10D22">
        <w:rPr>
          <w:rFonts w:ascii="Arial" w:hAnsi="Arial" w:cs="Arial"/>
          <w:color w:val="000000" w:themeColor="text1"/>
          <w:sz w:val="22"/>
          <w:szCs w:val="22"/>
        </w:rPr>
        <w:t xml:space="preserve">, suscrita por </w:t>
      </w:r>
      <w:r w:rsidR="00833307">
        <w:rPr>
          <w:rFonts w:ascii="Arial" w:hAnsi="Arial" w:cs="Arial"/>
          <w:color w:val="000000" w:themeColor="text1"/>
          <w:sz w:val="22"/>
          <w:szCs w:val="22"/>
        </w:rPr>
        <w:t>el</w:t>
      </w:r>
      <w:r w:rsidR="00E65F1A" w:rsidRPr="00C10D22">
        <w:rPr>
          <w:rFonts w:ascii="Arial" w:hAnsi="Arial" w:cs="Arial"/>
          <w:color w:val="000000" w:themeColor="text1"/>
          <w:sz w:val="22"/>
          <w:szCs w:val="22"/>
        </w:rPr>
        <w:t xml:space="preserve"> </w:t>
      </w:r>
      <w:r w:rsidR="009A5D71">
        <w:rPr>
          <w:rFonts w:ascii="Arial" w:hAnsi="Arial" w:cs="Arial"/>
          <w:color w:val="000000" w:themeColor="text1"/>
          <w:sz w:val="22"/>
          <w:szCs w:val="22"/>
        </w:rPr>
        <w:t>Asistente Administrativo</w:t>
      </w:r>
      <w:r w:rsidR="00E65F1A" w:rsidRPr="00C10D22">
        <w:rPr>
          <w:rFonts w:ascii="Arial" w:hAnsi="Arial" w:cs="Arial"/>
          <w:color w:val="000000" w:themeColor="text1"/>
          <w:sz w:val="22"/>
          <w:szCs w:val="22"/>
        </w:rPr>
        <w:t xml:space="preserve"> </w:t>
      </w:r>
      <w:r w:rsidR="009A5D71">
        <w:rPr>
          <w:rFonts w:ascii="Arial" w:hAnsi="Arial" w:cs="Arial"/>
          <w:b/>
          <w:color w:val="000000" w:themeColor="text1"/>
          <w:sz w:val="22"/>
          <w:szCs w:val="22"/>
        </w:rPr>
        <w:t>SANTA CRUZ CHAMORRO Evans Jean</w:t>
      </w:r>
      <w:r w:rsidR="000126CE">
        <w:rPr>
          <w:rFonts w:ascii="Arial" w:hAnsi="Arial" w:cs="Arial"/>
          <w:b/>
          <w:color w:val="000000" w:themeColor="text1"/>
          <w:sz w:val="22"/>
          <w:szCs w:val="22"/>
        </w:rPr>
        <w:t xml:space="preserve">, </w:t>
      </w:r>
      <w:r w:rsidR="000B65CA">
        <w:rPr>
          <w:rFonts w:ascii="Arial" w:hAnsi="Arial" w:cs="Arial"/>
          <w:color w:val="000000" w:themeColor="text1"/>
          <w:sz w:val="22"/>
          <w:szCs w:val="22"/>
        </w:rPr>
        <w:t xml:space="preserve">toda vez que </w:t>
      </w:r>
      <w:r w:rsidR="009A5D71">
        <w:rPr>
          <w:rFonts w:ascii="Arial" w:hAnsi="Arial" w:cs="Arial"/>
          <w:color w:val="000000" w:themeColor="text1"/>
          <w:sz w:val="22"/>
          <w:szCs w:val="22"/>
        </w:rPr>
        <w:t xml:space="preserve">cumple con los criterios y condiciones para la reserva de plaza </w:t>
      </w:r>
      <w:r w:rsidR="00362916">
        <w:rPr>
          <w:rFonts w:ascii="Arial" w:hAnsi="Arial" w:cs="Arial"/>
          <w:color w:val="000000" w:themeColor="text1"/>
          <w:sz w:val="22"/>
          <w:szCs w:val="22"/>
        </w:rPr>
        <w:t>por contar con contrato bajo los alcances del Decreto Legislativo N° 276</w:t>
      </w:r>
      <w:r w:rsidR="008A3BCB">
        <w:rPr>
          <w:rFonts w:ascii="Arial" w:hAnsi="Arial" w:cs="Arial"/>
          <w:color w:val="000000" w:themeColor="text1"/>
          <w:sz w:val="22"/>
          <w:szCs w:val="22"/>
        </w:rPr>
        <w:t>,</w:t>
      </w:r>
      <w:r w:rsidR="00362916">
        <w:rPr>
          <w:rFonts w:ascii="Arial" w:hAnsi="Arial" w:cs="Arial"/>
          <w:color w:val="000000" w:themeColor="text1"/>
          <w:sz w:val="22"/>
          <w:szCs w:val="22"/>
        </w:rPr>
        <w:t xml:space="preserve"> las cuales </w:t>
      </w:r>
      <w:r w:rsidR="00833307">
        <w:rPr>
          <w:rFonts w:ascii="Arial" w:hAnsi="Arial" w:cs="Arial"/>
          <w:color w:val="000000" w:themeColor="text1"/>
          <w:sz w:val="22"/>
          <w:szCs w:val="22"/>
        </w:rPr>
        <w:t>son en</w:t>
      </w:r>
      <w:r w:rsidR="00362916">
        <w:rPr>
          <w:rFonts w:ascii="Arial" w:hAnsi="Arial" w:cs="Arial"/>
          <w:color w:val="000000" w:themeColor="text1"/>
          <w:sz w:val="22"/>
          <w:szCs w:val="22"/>
        </w:rPr>
        <w:t xml:space="preserve"> funciones </w:t>
      </w:r>
      <w:r w:rsidR="00833307">
        <w:rPr>
          <w:rFonts w:ascii="Arial" w:hAnsi="Arial" w:cs="Arial"/>
          <w:color w:val="000000" w:themeColor="text1"/>
          <w:sz w:val="22"/>
          <w:szCs w:val="22"/>
        </w:rPr>
        <w:t xml:space="preserve">de labores </w:t>
      </w:r>
      <w:r w:rsidR="00362916">
        <w:rPr>
          <w:rFonts w:ascii="Arial" w:hAnsi="Arial" w:cs="Arial"/>
          <w:color w:val="000000" w:themeColor="text1"/>
          <w:sz w:val="22"/>
          <w:szCs w:val="22"/>
        </w:rPr>
        <w:t>permanentes</w:t>
      </w:r>
      <w:r w:rsidR="000126CE">
        <w:rPr>
          <w:rFonts w:ascii="Arial" w:hAnsi="Arial" w:cs="Arial"/>
          <w:color w:val="000000" w:themeColor="text1"/>
          <w:sz w:val="22"/>
          <w:szCs w:val="22"/>
        </w:rPr>
        <w:t>.</w:t>
      </w:r>
    </w:p>
    <w:p w14:paraId="4A48B1EF" w14:textId="77777777" w:rsidR="00F171B7" w:rsidRPr="000126CE" w:rsidRDefault="00F171B7" w:rsidP="009B049A">
      <w:pPr>
        <w:jc w:val="both"/>
        <w:rPr>
          <w:rFonts w:ascii="Arial" w:hAnsi="Arial" w:cs="Arial"/>
          <w:color w:val="000000" w:themeColor="text1"/>
          <w:sz w:val="22"/>
          <w:szCs w:val="22"/>
        </w:rPr>
      </w:pPr>
    </w:p>
    <w:p w14:paraId="61DEE933" w14:textId="77777777" w:rsidR="002E718B" w:rsidRPr="00C10D22" w:rsidRDefault="002E718B" w:rsidP="009B049A">
      <w:pPr>
        <w:jc w:val="both"/>
        <w:rPr>
          <w:rFonts w:ascii="Arial" w:hAnsi="Arial" w:cs="Arial"/>
          <w:color w:val="000000" w:themeColor="text1"/>
          <w:sz w:val="22"/>
        </w:rPr>
      </w:pPr>
      <w:r w:rsidRPr="000126CE">
        <w:rPr>
          <w:rFonts w:ascii="Arial" w:hAnsi="Arial" w:cs="Arial"/>
          <w:color w:val="000000" w:themeColor="text1"/>
          <w:sz w:val="22"/>
        </w:rPr>
        <w:t xml:space="preserve">         Sin otro en particular </w:t>
      </w:r>
      <w:r w:rsidR="00337CF0" w:rsidRPr="000126CE">
        <w:rPr>
          <w:rFonts w:ascii="Arial" w:hAnsi="Arial" w:cs="Arial"/>
          <w:color w:val="000000" w:themeColor="text1"/>
          <w:sz w:val="22"/>
        </w:rPr>
        <w:t>aprovecho, la</w:t>
      </w:r>
      <w:r w:rsidRPr="00C10D22">
        <w:rPr>
          <w:rFonts w:ascii="Arial" w:hAnsi="Arial" w:cs="Arial"/>
          <w:color w:val="000000" w:themeColor="text1"/>
          <w:sz w:val="22"/>
        </w:rPr>
        <w:t xml:space="preserve"> oportunidad para expresarle </w:t>
      </w:r>
      <w:r w:rsidR="00337CF0" w:rsidRPr="00C10D22">
        <w:rPr>
          <w:rFonts w:ascii="Arial" w:hAnsi="Arial" w:cs="Arial"/>
          <w:color w:val="000000" w:themeColor="text1"/>
          <w:sz w:val="22"/>
        </w:rPr>
        <w:t xml:space="preserve">las muestras de mi especial consideración y estima </w:t>
      </w:r>
      <w:r w:rsidR="000664A6" w:rsidRPr="00C10D22">
        <w:rPr>
          <w:rFonts w:ascii="Arial" w:hAnsi="Arial" w:cs="Arial"/>
          <w:color w:val="000000" w:themeColor="text1"/>
          <w:sz w:val="22"/>
        </w:rPr>
        <w:t>personal.</w:t>
      </w:r>
    </w:p>
    <w:p w14:paraId="3FA53F64" w14:textId="77777777" w:rsidR="00337CF0" w:rsidRPr="00C10D22" w:rsidRDefault="00337CF0" w:rsidP="009B049A">
      <w:pPr>
        <w:jc w:val="both"/>
        <w:rPr>
          <w:rFonts w:ascii="Arial" w:hAnsi="Arial" w:cs="Arial"/>
          <w:color w:val="000000" w:themeColor="text1"/>
          <w:sz w:val="22"/>
        </w:rPr>
      </w:pPr>
    </w:p>
    <w:p w14:paraId="417DAE74" w14:textId="77777777" w:rsidR="00C92303" w:rsidRPr="00C10D22" w:rsidRDefault="00337CF0" w:rsidP="009764CA">
      <w:pPr>
        <w:jc w:val="both"/>
        <w:rPr>
          <w:rFonts w:ascii="Arial" w:hAnsi="Arial" w:cs="Arial"/>
          <w:sz w:val="20"/>
        </w:rPr>
      </w:pPr>
      <w:r w:rsidRPr="00C10D22">
        <w:rPr>
          <w:rFonts w:ascii="Arial" w:hAnsi="Arial" w:cs="Arial"/>
          <w:color w:val="000000" w:themeColor="text1"/>
          <w:sz w:val="22"/>
        </w:rPr>
        <w:t xml:space="preserve">   </w:t>
      </w:r>
      <w:r w:rsidR="0063293B" w:rsidRPr="00C10D22">
        <w:rPr>
          <w:rFonts w:ascii="Arial" w:hAnsi="Arial" w:cs="Arial"/>
          <w:color w:val="000000" w:themeColor="text1"/>
          <w:sz w:val="22"/>
        </w:rPr>
        <w:t xml:space="preserve">       </w:t>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63293B" w:rsidRPr="00C10D22">
        <w:rPr>
          <w:rFonts w:ascii="Arial" w:hAnsi="Arial" w:cs="Arial"/>
          <w:color w:val="000000" w:themeColor="text1"/>
          <w:sz w:val="22"/>
        </w:rPr>
        <w:t>Es todo en cuanto se opina para su conocimiento.</w:t>
      </w:r>
      <w:r w:rsidRPr="00C10D22">
        <w:rPr>
          <w:rFonts w:ascii="Arial" w:hAnsi="Arial" w:cs="Arial"/>
          <w:sz w:val="22"/>
        </w:rPr>
        <w:t xml:space="preserve">                                       </w:t>
      </w:r>
      <w:r w:rsidR="000F705F" w:rsidRPr="00C10D22">
        <w:rPr>
          <w:rFonts w:ascii="Arial" w:hAnsi="Arial" w:cs="Arial"/>
          <w:sz w:val="22"/>
        </w:rPr>
        <w:t xml:space="preserve"> </w:t>
      </w:r>
      <w:r w:rsidR="00310AB9" w:rsidRPr="00C10D22">
        <w:rPr>
          <w:rFonts w:ascii="Arial" w:hAnsi="Arial" w:cs="Arial"/>
          <w:sz w:val="22"/>
        </w:rPr>
        <w:t xml:space="preserve">    </w:t>
      </w:r>
    </w:p>
    <w:p w14:paraId="0D9A6ACA" w14:textId="77777777" w:rsidR="005F177E" w:rsidRDefault="00337CF0" w:rsidP="009B049A">
      <w:pPr>
        <w:tabs>
          <w:tab w:val="left" w:pos="1605"/>
        </w:tabs>
        <w:rPr>
          <w:rFonts w:ascii="Arial" w:hAnsi="Arial" w:cs="Arial"/>
          <w:sz w:val="18"/>
        </w:rPr>
      </w:pPr>
      <w:r w:rsidRPr="00C10D22">
        <w:rPr>
          <w:rFonts w:ascii="Arial" w:hAnsi="Arial" w:cs="Arial"/>
          <w:sz w:val="18"/>
        </w:rPr>
        <w:t xml:space="preserve"> </w:t>
      </w:r>
    </w:p>
    <w:sectPr w:rsidR="005F177E" w:rsidSect="008D74BE">
      <w:headerReference w:type="default" r:id="rId11"/>
      <w:footerReference w:type="default" r:id="rId12"/>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C6090" w14:textId="77777777" w:rsidR="00435FCD" w:rsidRDefault="00435FCD" w:rsidP="00F12C4E">
      <w:r>
        <w:separator/>
      </w:r>
    </w:p>
  </w:endnote>
  <w:endnote w:type="continuationSeparator" w:id="0">
    <w:p w14:paraId="401BDC7E" w14:textId="77777777" w:rsidR="00435FCD" w:rsidRDefault="00435FCD"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96B9" w14:textId="77777777" w:rsidR="004F7130" w:rsidRPr="004F7130" w:rsidRDefault="00362916" w:rsidP="000664A6">
    <w:pPr>
      <w:tabs>
        <w:tab w:val="left" w:pos="1605"/>
      </w:tabs>
      <w:rPr>
        <w:rStyle w:val="nfasissutil"/>
        <w:sz w:val="20"/>
      </w:rPr>
    </w:pPr>
    <w:r w:rsidRPr="004F7130">
      <w:rPr>
        <w:rStyle w:val="nfasissutil"/>
        <w:sz w:val="20"/>
      </w:rPr>
      <w:t>Reg. Documento:</w:t>
    </w:r>
    <w:r w:rsidR="004F7130" w:rsidRPr="004F7130">
      <w:rPr>
        <w:rFonts w:ascii="Arial" w:hAnsi="Arial" w:cs="Arial"/>
        <w:b/>
        <w:bCs/>
        <w:color w:val="006CA0"/>
        <w:sz w:val="20"/>
        <w:szCs w:val="20"/>
        <w:shd w:val="clear" w:color="auto" w:fill="99CCFF"/>
      </w:rPr>
      <w:t xml:space="preserve"> </w:t>
    </w:r>
    <w:r w:rsidR="004F7130" w:rsidRPr="004F7130">
      <w:rPr>
        <w:rStyle w:val="nfasissutil"/>
        <w:sz w:val="20"/>
      </w:rPr>
      <w:t>02592695</w:t>
    </w:r>
  </w:p>
  <w:p w14:paraId="56F51154" w14:textId="2012A3B5" w:rsidR="00362916" w:rsidRPr="004F7130" w:rsidRDefault="00362916" w:rsidP="000664A6">
    <w:pPr>
      <w:tabs>
        <w:tab w:val="left" w:pos="1605"/>
      </w:tabs>
      <w:rPr>
        <w:rStyle w:val="nfasissutil"/>
        <w:sz w:val="20"/>
      </w:rPr>
    </w:pPr>
    <w:r w:rsidRPr="004F7130">
      <w:rPr>
        <w:rStyle w:val="nfasissutil"/>
        <w:sz w:val="20"/>
      </w:rPr>
      <w:t xml:space="preserve">Reg. Expediente: </w:t>
    </w:r>
    <w:r w:rsidR="004F7130" w:rsidRPr="004F7130">
      <w:rPr>
        <w:rStyle w:val="nfasissutil"/>
        <w:sz w:val="20"/>
      </w:rPr>
      <w:t> 01907619</w:t>
    </w:r>
  </w:p>
  <w:p w14:paraId="12A6A6F3" w14:textId="77777777" w:rsidR="00362916" w:rsidRDefault="003629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3F80" w14:textId="77777777" w:rsidR="00435FCD" w:rsidRDefault="00435FCD" w:rsidP="00F12C4E">
      <w:r>
        <w:separator/>
      </w:r>
    </w:p>
  </w:footnote>
  <w:footnote w:type="continuationSeparator" w:id="0">
    <w:p w14:paraId="6AD9E94B" w14:textId="77777777" w:rsidR="00435FCD" w:rsidRDefault="00435FCD"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16C0" w14:textId="77777777" w:rsidR="00362916" w:rsidRDefault="00362916"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14:paraId="3D039832" w14:textId="77777777" w:rsidR="00362916" w:rsidRDefault="00362916" w:rsidP="004A392C">
    <w:pPr>
      <w:pStyle w:val="Encabezado"/>
      <w:jc w:val="right"/>
      <w:rPr>
        <w:b/>
        <w:color w:val="FF6600"/>
        <w:sz w:val="18"/>
        <w:szCs w:val="18"/>
      </w:rPr>
    </w:pPr>
  </w:p>
  <w:p w14:paraId="4DF284D7" w14:textId="77777777" w:rsidR="00362916" w:rsidRPr="00DF325F" w:rsidRDefault="00362916"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7A868054" wp14:editId="14F6123A">
          <wp:extent cx="1361440" cy="464431"/>
          <wp:effectExtent l="0" t="0" r="0" b="0"/>
          <wp:docPr id="13"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3F25EA5A" wp14:editId="2C9C49C6">
          <wp:extent cx="1238250" cy="6381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14:paraId="6BDEFB4D" w14:textId="77777777" w:rsidR="00362916" w:rsidRDefault="00362916" w:rsidP="004A392C">
    <w:pPr>
      <w:pStyle w:val="Encabezado"/>
      <w:rPr>
        <w:b/>
        <w:color w:val="FF6600"/>
        <w:sz w:val="16"/>
        <w:szCs w:val="16"/>
      </w:rPr>
    </w:pPr>
    <w:r w:rsidRPr="007443E5">
      <w:rPr>
        <w:b/>
        <w:color w:val="FF6600"/>
        <w:sz w:val="16"/>
        <w:szCs w:val="16"/>
      </w:rPr>
      <w:t xml:space="preserve">                                                                                                                                                                                                                  </w:t>
    </w:r>
  </w:p>
  <w:p w14:paraId="2DD32569" w14:textId="06412E77" w:rsidR="00362916" w:rsidRDefault="008D74BE" w:rsidP="008D74BE">
    <w:pPr>
      <w:pStyle w:val="Encabezado"/>
      <w:jc w:val="center"/>
    </w:pPr>
    <w:r w:rsidRPr="00E6391A">
      <w:rPr>
        <w:rFonts w:ascii="Arial" w:hAnsi="Arial" w:cs="Arial"/>
        <w:i/>
        <w:color w:val="202124"/>
        <w:sz w:val="20"/>
        <w:szCs w:val="33"/>
        <w:shd w:val="clear" w:color="auto" w:fill="FFFFFF"/>
      </w:rPr>
      <w:t>“</w:t>
    </w:r>
    <w:r>
      <w:rPr>
        <w:rFonts w:ascii="Arial" w:hAnsi="Arial" w:cs="Arial"/>
        <w:i/>
        <w:color w:val="040C28"/>
        <w:sz w:val="20"/>
        <w:szCs w:val="33"/>
      </w:rPr>
      <w:t>Año de la Unidad, la Paz y el D</w:t>
    </w:r>
    <w:r w:rsidRPr="00E6391A">
      <w:rPr>
        <w:rFonts w:ascii="Arial" w:hAnsi="Arial" w:cs="Arial"/>
        <w:i/>
        <w:color w:val="040C28"/>
        <w:sz w:val="20"/>
        <w:szCs w:val="33"/>
      </w:rPr>
      <w:t>esarrollo</w:t>
    </w:r>
    <w:r>
      <w:rPr>
        <w:rFonts w:ascii="Arial" w:hAnsi="Arial" w:cs="Arial"/>
        <w:i/>
        <w:color w:val="040C28"/>
        <w:sz w:val="20"/>
        <w:szCs w:val="33"/>
      </w:rPr>
      <w:t>”</w:t>
    </w:r>
    <w:r w:rsidRPr="00E6391A">
      <w:rPr>
        <w:rFonts w:ascii="Arial" w:hAnsi="Arial" w:cs="Arial"/>
        <w:i/>
        <w:color w:val="202124"/>
        <w:sz w:val="20"/>
        <w:szCs w:val="33"/>
        <w:shd w:val="clear" w:color="auto" w:fill="FFFFF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2336E"/>
    <w:multiLevelType w:val="hybridMultilevel"/>
    <w:tmpl w:val="80887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4BF1"/>
    <w:rsid w:val="000126CE"/>
    <w:rsid w:val="00020F11"/>
    <w:rsid w:val="00025521"/>
    <w:rsid w:val="00027B50"/>
    <w:rsid w:val="0003053E"/>
    <w:rsid w:val="00032202"/>
    <w:rsid w:val="000600CD"/>
    <w:rsid w:val="00062F0C"/>
    <w:rsid w:val="0006434F"/>
    <w:rsid w:val="000664A6"/>
    <w:rsid w:val="0007264D"/>
    <w:rsid w:val="000B65CA"/>
    <w:rsid w:val="000D0EEA"/>
    <w:rsid w:val="000D3306"/>
    <w:rsid w:val="000F705F"/>
    <w:rsid w:val="00101441"/>
    <w:rsid w:val="00105995"/>
    <w:rsid w:val="00107B08"/>
    <w:rsid w:val="00121F37"/>
    <w:rsid w:val="00123ABC"/>
    <w:rsid w:val="00123C5D"/>
    <w:rsid w:val="0013100C"/>
    <w:rsid w:val="00150F24"/>
    <w:rsid w:val="00185D3E"/>
    <w:rsid w:val="001E3198"/>
    <w:rsid w:val="00201B73"/>
    <w:rsid w:val="00203BA5"/>
    <w:rsid w:val="00221C13"/>
    <w:rsid w:val="002316A6"/>
    <w:rsid w:val="00256DEF"/>
    <w:rsid w:val="00294D53"/>
    <w:rsid w:val="002A1339"/>
    <w:rsid w:val="002A7577"/>
    <w:rsid w:val="002C261F"/>
    <w:rsid w:val="002D40D5"/>
    <w:rsid w:val="002D7521"/>
    <w:rsid w:val="002E2688"/>
    <w:rsid w:val="002E718B"/>
    <w:rsid w:val="002E77CC"/>
    <w:rsid w:val="002F43F4"/>
    <w:rsid w:val="00310AB9"/>
    <w:rsid w:val="00311384"/>
    <w:rsid w:val="00313249"/>
    <w:rsid w:val="00337CF0"/>
    <w:rsid w:val="00362916"/>
    <w:rsid w:val="0037381E"/>
    <w:rsid w:val="00383337"/>
    <w:rsid w:val="00397B7A"/>
    <w:rsid w:val="003C4D98"/>
    <w:rsid w:val="003D6764"/>
    <w:rsid w:val="003F1A4F"/>
    <w:rsid w:val="00414030"/>
    <w:rsid w:val="00424616"/>
    <w:rsid w:val="00435FCD"/>
    <w:rsid w:val="00451B52"/>
    <w:rsid w:val="00453A87"/>
    <w:rsid w:val="00467FDC"/>
    <w:rsid w:val="00481803"/>
    <w:rsid w:val="00484865"/>
    <w:rsid w:val="00487329"/>
    <w:rsid w:val="004A392C"/>
    <w:rsid w:val="004B25E6"/>
    <w:rsid w:val="004E4135"/>
    <w:rsid w:val="004E4AF0"/>
    <w:rsid w:val="004F23B4"/>
    <w:rsid w:val="004F5D49"/>
    <w:rsid w:val="004F7130"/>
    <w:rsid w:val="004F79A2"/>
    <w:rsid w:val="00513007"/>
    <w:rsid w:val="00523554"/>
    <w:rsid w:val="00523B12"/>
    <w:rsid w:val="0053666E"/>
    <w:rsid w:val="00545172"/>
    <w:rsid w:val="0059676D"/>
    <w:rsid w:val="005C3E80"/>
    <w:rsid w:val="005C75D5"/>
    <w:rsid w:val="005E1B3D"/>
    <w:rsid w:val="005E2949"/>
    <w:rsid w:val="005F177E"/>
    <w:rsid w:val="00606E3D"/>
    <w:rsid w:val="00614110"/>
    <w:rsid w:val="0063293B"/>
    <w:rsid w:val="00642581"/>
    <w:rsid w:val="00655621"/>
    <w:rsid w:val="0067187E"/>
    <w:rsid w:val="006860FB"/>
    <w:rsid w:val="006B43C0"/>
    <w:rsid w:val="006B69FD"/>
    <w:rsid w:val="006D2C52"/>
    <w:rsid w:val="006F6D08"/>
    <w:rsid w:val="0073351F"/>
    <w:rsid w:val="007457EE"/>
    <w:rsid w:val="007A2EBA"/>
    <w:rsid w:val="007A37A1"/>
    <w:rsid w:val="007B1159"/>
    <w:rsid w:val="007C19F3"/>
    <w:rsid w:val="007F40DF"/>
    <w:rsid w:val="00807245"/>
    <w:rsid w:val="00814177"/>
    <w:rsid w:val="00825660"/>
    <w:rsid w:val="00833307"/>
    <w:rsid w:val="00836A16"/>
    <w:rsid w:val="00837A7F"/>
    <w:rsid w:val="00882DF6"/>
    <w:rsid w:val="008A3BCB"/>
    <w:rsid w:val="008B38A8"/>
    <w:rsid w:val="008B6085"/>
    <w:rsid w:val="008C15A3"/>
    <w:rsid w:val="008D74BE"/>
    <w:rsid w:val="009059CE"/>
    <w:rsid w:val="009108D9"/>
    <w:rsid w:val="009356FE"/>
    <w:rsid w:val="00941C16"/>
    <w:rsid w:val="0096727C"/>
    <w:rsid w:val="00974079"/>
    <w:rsid w:val="009764CA"/>
    <w:rsid w:val="00985247"/>
    <w:rsid w:val="009A5D71"/>
    <w:rsid w:val="009B049A"/>
    <w:rsid w:val="009E227C"/>
    <w:rsid w:val="009E7B15"/>
    <w:rsid w:val="00A005ED"/>
    <w:rsid w:val="00A147A0"/>
    <w:rsid w:val="00A23BB3"/>
    <w:rsid w:val="00A37008"/>
    <w:rsid w:val="00A45578"/>
    <w:rsid w:val="00A558D9"/>
    <w:rsid w:val="00A62136"/>
    <w:rsid w:val="00A936A3"/>
    <w:rsid w:val="00AA7066"/>
    <w:rsid w:val="00AB3471"/>
    <w:rsid w:val="00AB5F4D"/>
    <w:rsid w:val="00AE3712"/>
    <w:rsid w:val="00B02F11"/>
    <w:rsid w:val="00B24727"/>
    <w:rsid w:val="00B36C45"/>
    <w:rsid w:val="00B46ABB"/>
    <w:rsid w:val="00B4784C"/>
    <w:rsid w:val="00B84128"/>
    <w:rsid w:val="00BB034E"/>
    <w:rsid w:val="00BC12B3"/>
    <w:rsid w:val="00BC4E0B"/>
    <w:rsid w:val="00BF4241"/>
    <w:rsid w:val="00BF6344"/>
    <w:rsid w:val="00C0412C"/>
    <w:rsid w:val="00C10D22"/>
    <w:rsid w:val="00C22A59"/>
    <w:rsid w:val="00C22DD3"/>
    <w:rsid w:val="00C24907"/>
    <w:rsid w:val="00C31D08"/>
    <w:rsid w:val="00C5798C"/>
    <w:rsid w:val="00C8073E"/>
    <w:rsid w:val="00C83790"/>
    <w:rsid w:val="00C85521"/>
    <w:rsid w:val="00C92303"/>
    <w:rsid w:val="00CB460C"/>
    <w:rsid w:val="00CB4E60"/>
    <w:rsid w:val="00CB5C34"/>
    <w:rsid w:val="00CB70E9"/>
    <w:rsid w:val="00CB7A7C"/>
    <w:rsid w:val="00CC132F"/>
    <w:rsid w:val="00CC338E"/>
    <w:rsid w:val="00CC47CA"/>
    <w:rsid w:val="00CD14BC"/>
    <w:rsid w:val="00CE73A5"/>
    <w:rsid w:val="00CF6740"/>
    <w:rsid w:val="00D027EE"/>
    <w:rsid w:val="00D05FD1"/>
    <w:rsid w:val="00D23363"/>
    <w:rsid w:val="00D55923"/>
    <w:rsid w:val="00D622D5"/>
    <w:rsid w:val="00DB097B"/>
    <w:rsid w:val="00DB19E6"/>
    <w:rsid w:val="00DB50E8"/>
    <w:rsid w:val="00DB5FF5"/>
    <w:rsid w:val="00DD271C"/>
    <w:rsid w:val="00DE2279"/>
    <w:rsid w:val="00DE3732"/>
    <w:rsid w:val="00DF2C89"/>
    <w:rsid w:val="00DF4775"/>
    <w:rsid w:val="00DF536D"/>
    <w:rsid w:val="00E02072"/>
    <w:rsid w:val="00E175CB"/>
    <w:rsid w:val="00E21E0F"/>
    <w:rsid w:val="00E31F20"/>
    <w:rsid w:val="00E420D2"/>
    <w:rsid w:val="00E612F0"/>
    <w:rsid w:val="00E65F1A"/>
    <w:rsid w:val="00EA60A4"/>
    <w:rsid w:val="00EE2A33"/>
    <w:rsid w:val="00F12C4E"/>
    <w:rsid w:val="00F16D76"/>
    <w:rsid w:val="00F171B7"/>
    <w:rsid w:val="00F82D4C"/>
    <w:rsid w:val="00F9147B"/>
    <w:rsid w:val="00FA46BA"/>
    <w:rsid w:val="00FB6207"/>
    <w:rsid w:val="00FB783C"/>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AB8FB"/>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256DEF"/>
    <w:pPr>
      <w:spacing w:before="100" w:beforeAutospacing="1" w:after="100" w:afterAutospacing="1"/>
      <w:outlineLvl w:val="1"/>
    </w:pPr>
    <w:rPr>
      <w:b/>
      <w:bCs/>
      <w:sz w:val="36"/>
      <w:szCs w:val="36"/>
      <w:lang w:eastAsia="es-PE"/>
    </w:rPr>
  </w:style>
  <w:style w:type="paragraph" w:styleId="Ttulo3">
    <w:name w:val="heading 3"/>
    <w:basedOn w:val="Normal"/>
    <w:link w:val="Ttulo3Car"/>
    <w:uiPriority w:val="9"/>
    <w:qFormat/>
    <w:rsid w:val="00256DEF"/>
    <w:pPr>
      <w:spacing w:before="100" w:beforeAutospacing="1" w:after="100" w:afterAutospacing="1"/>
      <w:outlineLvl w:val="2"/>
    </w:pPr>
    <w:rPr>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unhideWhenUsed/>
    <w:rsid w:val="00807245"/>
    <w:pPr>
      <w:spacing w:before="100" w:beforeAutospacing="1" w:after="100" w:afterAutospacing="1"/>
    </w:pPr>
    <w:rPr>
      <w:lang w:eastAsia="es-PE"/>
    </w:rPr>
  </w:style>
  <w:style w:type="character" w:styleId="Textoennegrita">
    <w:name w:val="Strong"/>
    <w:basedOn w:val="Fuentedeprrafopredeter"/>
    <w:uiPriority w:val="22"/>
    <w:qFormat/>
    <w:rsid w:val="00C10D22"/>
    <w:rPr>
      <w:b/>
      <w:bCs/>
    </w:rPr>
  </w:style>
  <w:style w:type="character" w:styleId="Hipervnculo">
    <w:name w:val="Hyperlink"/>
    <w:basedOn w:val="Fuentedeprrafopredeter"/>
    <w:uiPriority w:val="99"/>
    <w:semiHidden/>
    <w:unhideWhenUsed/>
    <w:rsid w:val="00256DEF"/>
    <w:rPr>
      <w:color w:val="0000FF"/>
      <w:u w:val="single"/>
    </w:rPr>
  </w:style>
  <w:style w:type="character" w:customStyle="1" w:styleId="Ttulo2Car">
    <w:name w:val="Título 2 Car"/>
    <w:basedOn w:val="Fuentedeprrafopredeter"/>
    <w:link w:val="Ttulo2"/>
    <w:uiPriority w:val="9"/>
    <w:rsid w:val="00256DEF"/>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256DEF"/>
    <w:rPr>
      <w:rFonts w:ascii="Times New Roman" w:eastAsia="Times New Roman" w:hAnsi="Times New Roman" w:cs="Times New Roman"/>
      <w:b/>
      <w:bCs/>
      <w:sz w:val="27"/>
      <w:szCs w:val="27"/>
      <w:lang w:eastAsia="es-PE"/>
    </w:rPr>
  </w:style>
  <w:style w:type="character" w:styleId="nfasissutil">
    <w:name w:val="Subtle Emphasis"/>
    <w:basedOn w:val="Fuentedeprrafopredeter"/>
    <w:uiPriority w:val="19"/>
    <w:qFormat/>
    <w:rsid w:val="004F71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632292153">
      <w:bodyDiv w:val="1"/>
      <w:marLeft w:val="0"/>
      <w:marRight w:val="0"/>
      <w:marTop w:val="0"/>
      <w:marBottom w:val="0"/>
      <w:divBdr>
        <w:top w:val="none" w:sz="0" w:space="0" w:color="auto"/>
        <w:left w:val="none" w:sz="0" w:space="0" w:color="auto"/>
        <w:bottom w:val="none" w:sz="0" w:space="0" w:color="auto"/>
        <w:right w:val="none" w:sz="0" w:space="0" w:color="auto"/>
      </w:divBdr>
    </w:div>
    <w:div w:id="1378118052">
      <w:bodyDiv w:val="1"/>
      <w:marLeft w:val="0"/>
      <w:marRight w:val="0"/>
      <w:marTop w:val="0"/>
      <w:marBottom w:val="0"/>
      <w:divBdr>
        <w:top w:val="none" w:sz="0" w:space="0" w:color="auto"/>
        <w:left w:val="none" w:sz="0" w:space="0" w:color="auto"/>
        <w:bottom w:val="none" w:sz="0" w:space="0" w:color="auto"/>
        <w:right w:val="none" w:sz="0" w:space="0" w:color="auto"/>
      </w:divBdr>
    </w:div>
    <w:div w:id="1407024418">
      <w:bodyDiv w:val="1"/>
      <w:marLeft w:val="0"/>
      <w:marRight w:val="0"/>
      <w:marTop w:val="0"/>
      <w:marBottom w:val="0"/>
      <w:divBdr>
        <w:top w:val="none" w:sz="0" w:space="0" w:color="auto"/>
        <w:left w:val="none" w:sz="0" w:space="0" w:color="auto"/>
        <w:bottom w:val="none" w:sz="0" w:space="0" w:color="auto"/>
        <w:right w:val="none" w:sz="0" w:space="0" w:color="auto"/>
      </w:divBdr>
    </w:div>
    <w:div w:id="1554150327">
      <w:bodyDiv w:val="1"/>
      <w:marLeft w:val="0"/>
      <w:marRight w:val="0"/>
      <w:marTop w:val="0"/>
      <w:marBottom w:val="0"/>
      <w:divBdr>
        <w:top w:val="none" w:sz="0" w:space="0" w:color="auto"/>
        <w:left w:val="none" w:sz="0" w:space="0" w:color="auto"/>
        <w:bottom w:val="none" w:sz="0" w:space="0" w:color="auto"/>
        <w:right w:val="none" w:sz="0" w:space="0" w:color="auto"/>
      </w:divBdr>
    </w:div>
    <w:div w:id="1677461541">
      <w:bodyDiv w:val="1"/>
      <w:marLeft w:val="0"/>
      <w:marRight w:val="0"/>
      <w:marTop w:val="0"/>
      <w:marBottom w:val="0"/>
      <w:divBdr>
        <w:top w:val="none" w:sz="0" w:space="0" w:color="auto"/>
        <w:left w:val="none" w:sz="0" w:space="0" w:color="auto"/>
        <w:bottom w:val="none" w:sz="0" w:space="0" w:color="auto"/>
        <w:right w:val="none" w:sz="0" w:space="0" w:color="auto"/>
      </w:divBdr>
    </w:div>
    <w:div w:id="1894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erecho.pe/aprueban-tuo-ley-27444-ley-procedimiento-administrativo-gener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pderecho.pe/aprueban-tuo-ley-27444-ley-procedimiento-administrativo-general/" TargetMode="External"/><Relationship Id="rId4" Type="http://schemas.openxmlformats.org/officeDocument/2006/relationships/settings" Target="settings.xml"/><Relationship Id="rId9" Type="http://schemas.openxmlformats.org/officeDocument/2006/relationships/hyperlink" Target="https://lpderecho.pe/aprueban-tuo-ley-27444-ley-procedimiento-administrativo-gener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3C0B-B362-4C95-AF21-0E03FC84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2022-04-28T13:21:00Z</cp:lastPrinted>
  <dcterms:created xsi:type="dcterms:W3CDTF">2023-03-14T14:04:00Z</dcterms:created>
  <dcterms:modified xsi:type="dcterms:W3CDTF">2023-03-14T14:13:00Z</dcterms:modified>
</cp:coreProperties>
</file>