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586BA492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</w:t>
      </w:r>
      <w:r w:rsidR="00DF40AD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DF40AD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C84709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-2024/GOB.REG-HVCA/GSRAng/AI-GARC</w:t>
      </w:r>
    </w:p>
    <w:p w14:paraId="388C017A" w14:textId="54D04144" w:rsidR="006C1C3B" w:rsidRPr="00A22A63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val="pt-BR"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>A                                        :</w:t>
      </w:r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C84709" w:rsidRPr="00A22A63">
        <w:rPr>
          <w:rFonts w:ascii="Arial Narrow" w:eastAsia="Times New Roman" w:hAnsi="Arial Narrow" w:cs="Arial"/>
          <w:b/>
          <w:lang w:val="pt-BR" w:eastAsia="es-ES"/>
        </w:rPr>
        <w:t>CPC Fredy UNOCC HINCHO</w:t>
      </w:r>
    </w:p>
    <w:p w14:paraId="6E217A83" w14:textId="510413D6" w:rsidR="006C1C3B" w:rsidRPr="00C84709" w:rsidRDefault="00C84709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 w:rsidRPr="00C84709">
        <w:rPr>
          <w:rFonts w:ascii="Arial Narrow" w:eastAsia="Times New Roman" w:hAnsi="Arial Narrow" w:cs="Arial"/>
          <w:b/>
          <w:lang w:eastAsia="es-ES"/>
        </w:rPr>
        <w:t>Jef</w:t>
      </w:r>
      <w:r>
        <w:rPr>
          <w:rFonts w:ascii="Arial Narrow" w:eastAsia="Times New Roman" w:hAnsi="Arial Narrow" w:cs="Arial"/>
          <w:b/>
          <w:lang w:eastAsia="es-ES"/>
        </w:rPr>
        <w:t xml:space="preserve">e del </w:t>
      </w:r>
      <w:r w:rsidR="00201216">
        <w:rPr>
          <w:rFonts w:ascii="Arial Narrow" w:eastAsia="Times New Roman" w:hAnsi="Arial Narrow" w:cs="Arial"/>
          <w:b/>
          <w:lang w:eastAsia="es-ES"/>
        </w:rPr>
        <w:t>Área</w:t>
      </w:r>
      <w:r>
        <w:rPr>
          <w:rFonts w:ascii="Arial Narrow" w:eastAsia="Times New Roman" w:hAnsi="Arial Narrow" w:cs="Arial"/>
          <w:b/>
          <w:lang w:eastAsia="es-ES"/>
        </w:rPr>
        <w:t xml:space="preserve"> de Planeamiento y Presupuesto</w:t>
      </w:r>
    </w:p>
    <w:p w14:paraId="1565E196" w14:textId="1C49CD08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E55C84">
        <w:rPr>
          <w:rFonts w:ascii="Arial Narrow" w:eastAsia="Arial Unicode MS" w:hAnsi="Arial Narrow" w:cs="Segoe UI"/>
          <w:b/>
          <w:iCs/>
        </w:rPr>
        <w:t xml:space="preserve">REMITO </w:t>
      </w:r>
      <w:r w:rsidR="00C84709">
        <w:rPr>
          <w:rFonts w:ascii="Arial Narrow" w:eastAsia="Arial Unicode MS" w:hAnsi="Arial Narrow" w:cs="Segoe UI"/>
          <w:b/>
          <w:iCs/>
        </w:rPr>
        <w:t>ESTADO SITUACIONAL DE EQUIPOS</w:t>
      </w:r>
    </w:p>
    <w:p w14:paraId="008C03D9" w14:textId="22A632B2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REF.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C84709">
        <w:rPr>
          <w:rFonts w:ascii="Arial Narrow" w:eastAsia="Arial Unicode MS" w:hAnsi="Arial Narrow" w:cs="Segoe UI"/>
          <w:b/>
          <w:iCs/>
        </w:rPr>
        <w:t>MEMORANDUM N° 011-2024/GOB.REG-HVCA/OPyP</w:t>
      </w:r>
    </w:p>
    <w:p w14:paraId="167C52D5" w14:textId="66674476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C84709">
        <w:rPr>
          <w:rFonts w:ascii="Arial Narrow" w:eastAsia="Arial Unicode MS" w:hAnsi="Arial Narrow" w:cs="Segoe UI"/>
          <w:b/>
          <w:iCs/>
        </w:rPr>
        <w:t>03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C84709">
        <w:rPr>
          <w:rFonts w:ascii="Arial Narrow" w:eastAsia="Arial Unicode MS" w:hAnsi="Arial Narrow" w:cs="Segoe UI"/>
          <w:b/>
          <w:iCs/>
        </w:rPr>
        <w:t>dicie</w:t>
      </w:r>
      <w:r w:rsidR="00C0748F">
        <w:rPr>
          <w:rFonts w:ascii="Arial Narrow" w:eastAsia="Arial Unicode MS" w:hAnsi="Arial Narrow" w:cs="Segoe UI"/>
          <w:b/>
          <w:iCs/>
        </w:rPr>
        <w:t>mbre</w:t>
      </w:r>
      <w:r>
        <w:rPr>
          <w:rFonts w:ascii="Arial Narrow" w:eastAsia="Arial Unicode MS" w:hAnsi="Arial Narrow" w:cs="Segoe UI"/>
          <w:b/>
          <w:iCs/>
        </w:rPr>
        <w:t xml:space="preserve"> del 2024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3692F8D0" w14:textId="31D50ECA" w:rsidR="000973D6" w:rsidRDefault="006C1C3B" w:rsidP="000973D6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0973D6" w:rsidRPr="00494DB5">
        <w:rPr>
          <w:rFonts w:ascii="Arial Narrow" w:hAnsi="Arial Narrow" w:cs="Arial"/>
        </w:rPr>
        <w:t>Por medio del pres</w:t>
      </w:r>
      <w:r w:rsidR="000973D6">
        <w:rPr>
          <w:rFonts w:ascii="Arial Narrow" w:hAnsi="Arial Narrow" w:cs="Arial"/>
        </w:rPr>
        <w:t>ente es grato dirigirme a usted</w:t>
      </w:r>
      <w:r w:rsidR="000973D6" w:rsidRPr="00494DB5">
        <w:rPr>
          <w:rFonts w:ascii="Arial Narrow" w:hAnsi="Arial Narrow" w:cs="Arial"/>
        </w:rPr>
        <w:t xml:space="preserve"> para saludarle de manera cordial</w:t>
      </w:r>
      <w:r w:rsidR="000973D6">
        <w:rPr>
          <w:rFonts w:ascii="Arial Narrow" w:hAnsi="Arial Narrow" w:cs="Arial"/>
        </w:rPr>
        <w:t xml:space="preserve">, y a la vez poder </w:t>
      </w:r>
      <w:r w:rsidR="00C84709">
        <w:rPr>
          <w:rFonts w:ascii="Arial Narrow" w:hAnsi="Arial Narrow" w:cs="Arial"/>
        </w:rPr>
        <w:t>remitirle la información solicitada a través del documento de referencia:</w:t>
      </w:r>
    </w:p>
    <w:p w14:paraId="2ADC76E8" w14:textId="77777777" w:rsidR="00201216" w:rsidRDefault="00C84709" w:rsidP="00C84709">
      <w:pPr>
        <w:pStyle w:val="Prrafodelista"/>
        <w:numPr>
          <w:ilvl w:val="0"/>
          <w:numId w:val="8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 procedió con la revisión de las impresoras de modelo</w:t>
      </w:r>
      <w:r w:rsidR="00AC1907">
        <w:rPr>
          <w:rFonts w:ascii="Arial Narrow" w:hAnsi="Arial Narrow" w:cs="Arial"/>
        </w:rPr>
        <w:t xml:space="preserve"> HP Laserjet P1102w el cual en ambos casos requieren el </w:t>
      </w:r>
      <w:r w:rsidR="00201216">
        <w:rPr>
          <w:rFonts w:ascii="Arial Narrow" w:hAnsi="Arial Narrow" w:cs="Arial"/>
        </w:rPr>
        <w:t>cambio de cabezales ya que el tiempo de vida útil de dicho componente es de acuerdo a la cantidad de impresiones por lo que de manera periódica debe ser reemplazada para su optimo rendimiento.</w:t>
      </w:r>
    </w:p>
    <w:p w14:paraId="51D412FF" w14:textId="77777777" w:rsidR="00201216" w:rsidRDefault="00201216" w:rsidP="00C84709">
      <w:pPr>
        <w:pStyle w:val="Prrafodelista"/>
        <w:numPr>
          <w:ilvl w:val="0"/>
          <w:numId w:val="8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Del mismo modo, los tambores de ambas impresiones requieren un mantenimiento preventivo y limpieza general, ya que dichos tambores son componentes los cuales garantizan la calidad de impresión.</w:t>
      </w:r>
    </w:p>
    <w:p w14:paraId="37B17BA9" w14:textId="5D79D404" w:rsidR="00201216" w:rsidRDefault="00201216" w:rsidP="00C84709">
      <w:pPr>
        <w:pStyle w:val="Prrafodelista"/>
        <w:numPr>
          <w:ilvl w:val="0"/>
          <w:numId w:val="8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En cuanto a los CPU</w:t>
      </w:r>
      <w:r w:rsidR="00A22A63">
        <w:rPr>
          <w:rFonts w:ascii="Arial Narrow" w:hAnsi="Arial Narrow" w:cs="Arial"/>
        </w:rPr>
        <w:t xml:space="preserve"> HP</w:t>
      </w:r>
      <w:r>
        <w:rPr>
          <w:rFonts w:ascii="Arial Narrow" w:hAnsi="Arial Narrow" w:cs="Arial"/>
        </w:rPr>
        <w:t xml:space="preserve"> requiere un mantenimiento y cambio de pasta térmica en los procesadores para evitar los recalentamientos que venían sufriendo dichos equipos.</w:t>
      </w:r>
    </w:p>
    <w:p w14:paraId="76C6A069" w14:textId="77777777" w:rsidR="00201216" w:rsidRDefault="00201216" w:rsidP="00C84709">
      <w:pPr>
        <w:pStyle w:val="Prrafodelista"/>
        <w:numPr>
          <w:ilvl w:val="0"/>
          <w:numId w:val="8"/>
        </w:num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Los monitores requieren un mantenimiento preventivo y limpieza de la placa y los flats para evitar el recalentamiento de los leds de la pantalla y no sufrir de un posible fundido de dichos leds de los monitores.</w:t>
      </w:r>
    </w:p>
    <w:p w14:paraId="55A51EAB" w14:textId="1724E34F" w:rsidR="00C84709" w:rsidRPr="00201216" w:rsidRDefault="00A22A63" w:rsidP="00201216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201216">
        <w:rPr>
          <w:rFonts w:ascii="Arial Narrow" w:hAnsi="Arial Narrow" w:cs="Arial"/>
        </w:rPr>
        <w:t xml:space="preserve">Por lo antes mencionado se sugiere </w:t>
      </w:r>
      <w:r w:rsidR="005B14FB">
        <w:rPr>
          <w:rFonts w:ascii="Arial Narrow" w:hAnsi="Arial Narrow" w:cs="Arial"/>
        </w:rPr>
        <w:t xml:space="preserve">que dichos equipos informáticos se sometan a un mantenimiento preventivo a través de un servicio especializado para evitar futuros errores de funcionamiento o en el peor de los casos el deterioro total del equipo y de esta manera poder evitar el desuso de mencionados equipos; dicho mantenimiento garantiza al equipo su desempeño optimo y también su tiempo de vida útil. </w:t>
      </w:r>
      <w:r w:rsidR="00201216" w:rsidRPr="00201216">
        <w:rPr>
          <w:rFonts w:ascii="Arial Narrow" w:hAnsi="Arial Narrow" w:cs="Arial"/>
        </w:rPr>
        <w:t xml:space="preserve">  </w:t>
      </w:r>
    </w:p>
    <w:p w14:paraId="588E6813" w14:textId="60CB28F8" w:rsidR="005B14FB" w:rsidRDefault="00A22A63" w:rsidP="000973D6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 todo cuanto informo a usted, para su conocimiento y fines convenientes.</w:t>
      </w:r>
    </w:p>
    <w:p w14:paraId="3A6693DD" w14:textId="6A3B8D65" w:rsidR="006C1C3B" w:rsidRDefault="006C1C3B" w:rsidP="005B14FB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Atentamente,</w:t>
      </w:r>
    </w:p>
    <w:p w14:paraId="1EEF27EE" w14:textId="57DB9FB7" w:rsidR="00F21078" w:rsidRDefault="00F21078" w:rsidP="006C1C3B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p w14:paraId="1F8B098C" w14:textId="33FA0013" w:rsidR="00F21078" w:rsidRDefault="00F21078" w:rsidP="006C1C3B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p w14:paraId="18E1A5EE" w14:textId="63EE6499" w:rsidR="00F21078" w:rsidRDefault="00F21078" w:rsidP="008E4B01">
      <w:pPr>
        <w:tabs>
          <w:tab w:val="left" w:pos="2127"/>
        </w:tabs>
        <w:spacing w:line="276" w:lineRule="auto"/>
        <w:rPr>
          <w:rFonts w:ascii="Arial Narrow" w:hAnsi="Arial Narrow" w:cs="Arial"/>
        </w:rPr>
      </w:pPr>
    </w:p>
    <w:p w14:paraId="4B963D23" w14:textId="5DB455B5" w:rsidR="00C0748F" w:rsidRDefault="00C0748F" w:rsidP="008E4B01">
      <w:pPr>
        <w:tabs>
          <w:tab w:val="left" w:pos="2127"/>
        </w:tabs>
        <w:spacing w:line="276" w:lineRule="auto"/>
        <w:rPr>
          <w:rFonts w:ascii="Arial Narrow" w:hAnsi="Arial Narrow" w:cs="Arial"/>
        </w:rPr>
      </w:pPr>
    </w:p>
    <w:sectPr w:rsidR="00C0748F" w:rsidSect="00A63FDE">
      <w:headerReference w:type="default" r:id="rId8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9277B" w14:textId="77777777" w:rsidR="00A16C47" w:rsidRDefault="00A16C47" w:rsidP="004B158F">
      <w:pPr>
        <w:spacing w:after="0"/>
      </w:pPr>
      <w:r>
        <w:separator/>
      </w:r>
    </w:p>
  </w:endnote>
  <w:endnote w:type="continuationSeparator" w:id="0">
    <w:p w14:paraId="44693A49" w14:textId="77777777" w:rsidR="00A16C47" w:rsidRDefault="00A16C47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7D343" w14:textId="77777777" w:rsidR="00A16C47" w:rsidRDefault="00A16C47" w:rsidP="004B158F">
      <w:pPr>
        <w:spacing w:after="0"/>
      </w:pPr>
      <w:r>
        <w:separator/>
      </w:r>
    </w:p>
  </w:footnote>
  <w:footnote w:type="continuationSeparator" w:id="0">
    <w:p w14:paraId="4AE55BAA" w14:textId="77777777" w:rsidR="00A16C47" w:rsidRDefault="00A16C47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EA19B9D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18DBD3B1" w14:textId="5E81FF9E" w:rsidR="00E55C84" w:rsidRPr="00494DB5" w:rsidRDefault="00E55C84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DEL BICENTENARIO DE LA CONSOLIDACION DE NUESTRA INDEPENDENCIA Y DE LA CONMEMORACION DE LAS HEROICAS BATALLAS DE JUNIN Y AYACUCHO”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4805"/>
    <w:multiLevelType w:val="hybridMultilevel"/>
    <w:tmpl w:val="846A5E0E"/>
    <w:lvl w:ilvl="0" w:tplc="A75299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E2764"/>
    <w:multiLevelType w:val="hybridMultilevel"/>
    <w:tmpl w:val="D71498AE"/>
    <w:lvl w:ilvl="0" w:tplc="D0807AC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E178D"/>
    <w:multiLevelType w:val="hybridMultilevel"/>
    <w:tmpl w:val="D67606AA"/>
    <w:lvl w:ilvl="0" w:tplc="ABC2E4C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B463E"/>
    <w:multiLevelType w:val="hybridMultilevel"/>
    <w:tmpl w:val="CF90797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81D80"/>
    <w:rsid w:val="00083BDE"/>
    <w:rsid w:val="000876D6"/>
    <w:rsid w:val="000973D6"/>
    <w:rsid w:val="000A0277"/>
    <w:rsid w:val="000F1036"/>
    <w:rsid w:val="000F2B79"/>
    <w:rsid w:val="0011459F"/>
    <w:rsid w:val="00153711"/>
    <w:rsid w:val="001568D8"/>
    <w:rsid w:val="00164E45"/>
    <w:rsid w:val="00165430"/>
    <w:rsid w:val="00182BF4"/>
    <w:rsid w:val="001A0F8B"/>
    <w:rsid w:val="00201216"/>
    <w:rsid w:val="002362CC"/>
    <w:rsid w:val="00241A62"/>
    <w:rsid w:val="002921C6"/>
    <w:rsid w:val="002A4340"/>
    <w:rsid w:val="002B0BDB"/>
    <w:rsid w:val="002E28D3"/>
    <w:rsid w:val="003039CE"/>
    <w:rsid w:val="00313CF7"/>
    <w:rsid w:val="00326D0A"/>
    <w:rsid w:val="003456EC"/>
    <w:rsid w:val="0035419B"/>
    <w:rsid w:val="003775FE"/>
    <w:rsid w:val="00377923"/>
    <w:rsid w:val="00396FA3"/>
    <w:rsid w:val="003A799C"/>
    <w:rsid w:val="003B4BA7"/>
    <w:rsid w:val="003C1E5A"/>
    <w:rsid w:val="003D2358"/>
    <w:rsid w:val="003D32AD"/>
    <w:rsid w:val="0043628C"/>
    <w:rsid w:val="004511FA"/>
    <w:rsid w:val="00455504"/>
    <w:rsid w:val="00455E16"/>
    <w:rsid w:val="004643E1"/>
    <w:rsid w:val="0046520E"/>
    <w:rsid w:val="004656DD"/>
    <w:rsid w:val="00473896"/>
    <w:rsid w:val="00494DB5"/>
    <w:rsid w:val="004B158F"/>
    <w:rsid w:val="004E31F0"/>
    <w:rsid w:val="004F09F1"/>
    <w:rsid w:val="004F2C0B"/>
    <w:rsid w:val="005035DD"/>
    <w:rsid w:val="0050602D"/>
    <w:rsid w:val="005529C1"/>
    <w:rsid w:val="00571466"/>
    <w:rsid w:val="0058446D"/>
    <w:rsid w:val="00585F61"/>
    <w:rsid w:val="0059787F"/>
    <w:rsid w:val="005B14FB"/>
    <w:rsid w:val="005F7354"/>
    <w:rsid w:val="006128BB"/>
    <w:rsid w:val="00620F26"/>
    <w:rsid w:val="00663919"/>
    <w:rsid w:val="00666AB7"/>
    <w:rsid w:val="00672FDD"/>
    <w:rsid w:val="00682779"/>
    <w:rsid w:val="006A28DB"/>
    <w:rsid w:val="006C1C3B"/>
    <w:rsid w:val="006D2FCA"/>
    <w:rsid w:val="006F6B69"/>
    <w:rsid w:val="0075486F"/>
    <w:rsid w:val="00754C50"/>
    <w:rsid w:val="00763664"/>
    <w:rsid w:val="00766612"/>
    <w:rsid w:val="00774CCD"/>
    <w:rsid w:val="007871AD"/>
    <w:rsid w:val="00791356"/>
    <w:rsid w:val="007A4FEE"/>
    <w:rsid w:val="007E4124"/>
    <w:rsid w:val="00820C04"/>
    <w:rsid w:val="008215B5"/>
    <w:rsid w:val="00821EA1"/>
    <w:rsid w:val="008629A8"/>
    <w:rsid w:val="00866CC0"/>
    <w:rsid w:val="00897951"/>
    <w:rsid w:val="008A1013"/>
    <w:rsid w:val="008A680B"/>
    <w:rsid w:val="008E2D71"/>
    <w:rsid w:val="008E4B01"/>
    <w:rsid w:val="008E6527"/>
    <w:rsid w:val="008F3441"/>
    <w:rsid w:val="0091610B"/>
    <w:rsid w:val="00921A4E"/>
    <w:rsid w:val="00935929"/>
    <w:rsid w:val="00975B2B"/>
    <w:rsid w:val="009B6C18"/>
    <w:rsid w:val="009C160B"/>
    <w:rsid w:val="009F0BF2"/>
    <w:rsid w:val="009F79E1"/>
    <w:rsid w:val="00A16C47"/>
    <w:rsid w:val="00A22A63"/>
    <w:rsid w:val="00A24365"/>
    <w:rsid w:val="00A31D4C"/>
    <w:rsid w:val="00A5498F"/>
    <w:rsid w:val="00A63FDE"/>
    <w:rsid w:val="00A641EB"/>
    <w:rsid w:val="00A93F8E"/>
    <w:rsid w:val="00A95FDB"/>
    <w:rsid w:val="00A9793A"/>
    <w:rsid w:val="00AA7301"/>
    <w:rsid w:val="00AC1907"/>
    <w:rsid w:val="00AC29A2"/>
    <w:rsid w:val="00AE502A"/>
    <w:rsid w:val="00AE6CFD"/>
    <w:rsid w:val="00B27D8F"/>
    <w:rsid w:val="00B443EF"/>
    <w:rsid w:val="00B47DD1"/>
    <w:rsid w:val="00B53B0D"/>
    <w:rsid w:val="00B55D1E"/>
    <w:rsid w:val="00B85B36"/>
    <w:rsid w:val="00BB2237"/>
    <w:rsid w:val="00BC2AEF"/>
    <w:rsid w:val="00C0748F"/>
    <w:rsid w:val="00C56CFF"/>
    <w:rsid w:val="00C60F58"/>
    <w:rsid w:val="00C645C7"/>
    <w:rsid w:val="00C73127"/>
    <w:rsid w:val="00C84709"/>
    <w:rsid w:val="00C860DD"/>
    <w:rsid w:val="00C91548"/>
    <w:rsid w:val="00D16284"/>
    <w:rsid w:val="00D26C03"/>
    <w:rsid w:val="00D73143"/>
    <w:rsid w:val="00D74ACC"/>
    <w:rsid w:val="00D77D39"/>
    <w:rsid w:val="00D86C01"/>
    <w:rsid w:val="00DC66C6"/>
    <w:rsid w:val="00DC6AAD"/>
    <w:rsid w:val="00DD21EC"/>
    <w:rsid w:val="00DE51E6"/>
    <w:rsid w:val="00DF147B"/>
    <w:rsid w:val="00DF40AD"/>
    <w:rsid w:val="00E001BD"/>
    <w:rsid w:val="00E34D3B"/>
    <w:rsid w:val="00E55C84"/>
    <w:rsid w:val="00E85822"/>
    <w:rsid w:val="00E97C18"/>
    <w:rsid w:val="00EB4257"/>
    <w:rsid w:val="00EC2BEB"/>
    <w:rsid w:val="00EE7498"/>
    <w:rsid w:val="00EF308E"/>
    <w:rsid w:val="00F00E66"/>
    <w:rsid w:val="00F07773"/>
    <w:rsid w:val="00F11805"/>
    <w:rsid w:val="00F21078"/>
    <w:rsid w:val="00F33BBE"/>
    <w:rsid w:val="00F40A8C"/>
    <w:rsid w:val="00F824A3"/>
    <w:rsid w:val="00F9337B"/>
    <w:rsid w:val="00F9668B"/>
    <w:rsid w:val="00F974AF"/>
    <w:rsid w:val="00FA3A78"/>
    <w:rsid w:val="00FB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7666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9C68A-D4A1-4254-B048-2C00ECD7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4</cp:revision>
  <cp:lastPrinted>2024-07-03T20:23:00Z</cp:lastPrinted>
  <dcterms:created xsi:type="dcterms:W3CDTF">2024-12-03T16:29:00Z</dcterms:created>
  <dcterms:modified xsi:type="dcterms:W3CDTF">2024-12-03T17:26:00Z</dcterms:modified>
</cp:coreProperties>
</file>