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4C61" w14:textId="617C518D" w:rsidR="007E728C" w:rsidRDefault="007E728C" w:rsidP="007E728C">
      <w:pPr>
        <w:spacing w:after="160" w:line="259" w:lineRule="auto"/>
        <w:rPr>
          <w:rFonts w:ascii="Bernard MT Condensed" w:hAnsi="Bernard MT Condensed" w:cs="Arial"/>
          <w:sz w:val="28"/>
          <w:u w:val="thick"/>
          <w:lang w:val="es-PE"/>
        </w:rPr>
      </w:pPr>
      <w:r>
        <w:rPr>
          <w:rFonts w:ascii="Bernard MT Condensed" w:hAnsi="Bernard MT Condensed" w:cs="Arial"/>
          <w:sz w:val="28"/>
          <w:u w:val="thick"/>
          <w:lang w:val="es-PE"/>
        </w:rPr>
        <w:t xml:space="preserve">INFORME N.º </w:t>
      </w:r>
      <w:r w:rsidR="00F64942">
        <w:rPr>
          <w:rFonts w:ascii="Bernard MT Condensed" w:hAnsi="Bernard MT Condensed" w:cs="Arial"/>
          <w:sz w:val="28"/>
          <w:u w:val="thick"/>
          <w:lang w:val="es-PE"/>
        </w:rPr>
        <w:t>000</w:t>
      </w:r>
      <w:r w:rsidR="00E00D0B">
        <w:rPr>
          <w:rFonts w:ascii="Bernard MT Condensed" w:hAnsi="Bernard MT Condensed" w:cs="Arial"/>
          <w:sz w:val="28"/>
          <w:u w:val="thick"/>
          <w:lang w:val="es-PE"/>
        </w:rPr>
        <w:t>8</w:t>
      </w:r>
      <w:r>
        <w:rPr>
          <w:rFonts w:ascii="Bernard MT Condensed" w:hAnsi="Bernard MT Condensed" w:cs="Arial"/>
          <w:sz w:val="28"/>
          <w:u w:val="thick"/>
          <w:lang w:val="es-PE"/>
        </w:rPr>
        <w:t>-2026/</w:t>
      </w:r>
      <w:proofErr w:type="spellStart"/>
      <w:r w:rsidR="00E00D0B" w:rsidRPr="00E00D0B">
        <w:rPr>
          <w:rFonts w:ascii="Bernard MT Condensed" w:hAnsi="Bernard MT Condensed" w:cs="Arial"/>
          <w:sz w:val="28"/>
          <w:u w:val="thick"/>
          <w:lang w:val="es-PE"/>
        </w:rPr>
        <w:t>GOB</w:t>
      </w:r>
      <w:proofErr w:type="spellEnd"/>
      <w:r w:rsidR="00E00D0B" w:rsidRPr="00E00D0B">
        <w:rPr>
          <w:rFonts w:ascii="Bernard MT Condensed" w:hAnsi="Bernard MT Condensed" w:cs="Arial"/>
          <w:sz w:val="28"/>
          <w:u w:val="thick"/>
          <w:lang w:val="es-PE"/>
        </w:rPr>
        <w:t>-REG-</w:t>
      </w:r>
      <w:proofErr w:type="spellStart"/>
      <w:r w:rsidR="00E00D0B" w:rsidRPr="00E00D0B">
        <w:rPr>
          <w:rFonts w:ascii="Bernard MT Condensed" w:hAnsi="Bernard MT Condensed" w:cs="Arial"/>
          <w:sz w:val="28"/>
          <w:u w:val="thick"/>
          <w:lang w:val="es-PE"/>
        </w:rPr>
        <w:t>HVCA</w:t>
      </w:r>
      <w:proofErr w:type="spellEnd"/>
      <w:r w:rsidR="00E00D0B" w:rsidRPr="00E00D0B">
        <w:rPr>
          <w:rFonts w:ascii="Bernard MT Condensed" w:hAnsi="Bernard MT Condensed" w:cs="Arial"/>
          <w:sz w:val="28"/>
          <w:u w:val="thick"/>
          <w:lang w:val="es-PE"/>
        </w:rPr>
        <w:t>/</w:t>
      </w:r>
      <w:proofErr w:type="spellStart"/>
      <w:r w:rsidR="00E00D0B" w:rsidRPr="00E00D0B">
        <w:rPr>
          <w:rFonts w:ascii="Bernard MT Condensed" w:hAnsi="Bernard MT Condensed" w:cs="Arial"/>
          <w:sz w:val="28"/>
          <w:u w:val="thick"/>
          <w:lang w:val="es-PE"/>
        </w:rPr>
        <w:t>RSACO-OPS-JMRC</w:t>
      </w:r>
      <w:proofErr w:type="spellEnd"/>
    </w:p>
    <w:tbl>
      <w:tblPr>
        <w:tblStyle w:val="Tablaconcuadrcula"/>
        <w:tblW w:w="8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6951"/>
      </w:tblGrid>
      <w:tr w:rsidR="007E728C" w:rsidRPr="004C5F87" w14:paraId="3B8968AD" w14:textId="77777777" w:rsidTr="00F2312C">
        <w:tc>
          <w:tcPr>
            <w:tcW w:w="1560" w:type="dxa"/>
          </w:tcPr>
          <w:p w14:paraId="33E2F3D7" w14:textId="77777777" w:rsidR="007E728C" w:rsidRPr="004C5F87" w:rsidRDefault="007E728C" w:rsidP="00F2312C">
            <w:pPr>
              <w:tabs>
                <w:tab w:val="left" w:pos="993"/>
              </w:tabs>
              <w:rPr>
                <w:rFonts w:ascii="Candara" w:hAnsi="Candara" w:cs="Arial"/>
                <w:b/>
                <w:bCs/>
                <w:i/>
                <w:iCs/>
                <w:sz w:val="21"/>
                <w:szCs w:val="21"/>
                <w:lang w:val="en-US"/>
              </w:rPr>
            </w:pPr>
            <w:r w:rsidRPr="004C5F87">
              <w:rPr>
                <w:rFonts w:ascii="Candara" w:hAnsi="Candara" w:cs="Arial"/>
                <w:b/>
                <w:bCs/>
                <w:i/>
                <w:iCs/>
                <w:sz w:val="21"/>
                <w:szCs w:val="21"/>
                <w:lang w:val="en-US"/>
              </w:rPr>
              <w:t>A</w:t>
            </w:r>
          </w:p>
        </w:tc>
        <w:tc>
          <w:tcPr>
            <w:tcW w:w="283" w:type="dxa"/>
          </w:tcPr>
          <w:p w14:paraId="24B14757" w14:textId="77777777" w:rsidR="007E728C" w:rsidRPr="004C5F87" w:rsidRDefault="007E728C" w:rsidP="00F2312C">
            <w:pPr>
              <w:tabs>
                <w:tab w:val="left" w:pos="993"/>
              </w:tabs>
              <w:rPr>
                <w:rFonts w:ascii="Candara" w:hAnsi="Candara" w:cs="Arial"/>
                <w:b/>
                <w:bCs/>
                <w:i/>
                <w:iCs/>
                <w:sz w:val="21"/>
                <w:szCs w:val="21"/>
                <w:lang w:val="en-US"/>
              </w:rPr>
            </w:pPr>
            <w:r w:rsidRPr="004C5F87">
              <w:rPr>
                <w:rFonts w:ascii="Candara" w:hAnsi="Candara" w:cs="Arial"/>
                <w:b/>
                <w:bCs/>
                <w:i/>
                <w:iCs/>
                <w:sz w:val="21"/>
                <w:szCs w:val="21"/>
                <w:lang w:val="en-US"/>
              </w:rPr>
              <w:t>:</w:t>
            </w:r>
          </w:p>
        </w:tc>
        <w:tc>
          <w:tcPr>
            <w:tcW w:w="6951" w:type="dxa"/>
          </w:tcPr>
          <w:p w14:paraId="400A8BFA" w14:textId="77777777" w:rsidR="007E728C" w:rsidRPr="004C5F87" w:rsidRDefault="007E728C" w:rsidP="00F2312C">
            <w:pPr>
              <w:tabs>
                <w:tab w:val="left" w:pos="993"/>
              </w:tabs>
              <w:rPr>
                <w:rFonts w:ascii="Candara" w:hAnsi="Candara"/>
                <w:b/>
                <w:bCs/>
                <w:i/>
                <w:iCs/>
                <w:sz w:val="21"/>
                <w:szCs w:val="21"/>
              </w:rPr>
            </w:pPr>
            <w:r w:rsidRPr="004C5F87">
              <w:rPr>
                <w:rFonts w:ascii="Candara" w:hAnsi="Candara" w:cs="Arial"/>
                <w:i/>
                <w:iCs/>
                <w:sz w:val="21"/>
                <w:szCs w:val="21"/>
              </w:rPr>
              <w:t>CPC. Cristina VILLANUEVA ESPEZA</w:t>
            </w:r>
          </w:p>
          <w:p w14:paraId="6FA8D893" w14:textId="77777777" w:rsidR="007E728C" w:rsidRPr="004C5F87" w:rsidRDefault="007E728C" w:rsidP="00F2312C">
            <w:pPr>
              <w:tabs>
                <w:tab w:val="left" w:pos="993"/>
              </w:tabs>
              <w:rPr>
                <w:rFonts w:ascii="Candara" w:hAnsi="Candara" w:cs="Arial"/>
                <w:b/>
                <w:bCs/>
                <w:i/>
                <w:iCs/>
                <w:sz w:val="21"/>
                <w:szCs w:val="21"/>
                <w:lang w:val="es-PE"/>
              </w:rPr>
            </w:pPr>
            <w:r w:rsidRPr="004C5F87">
              <w:rPr>
                <w:rFonts w:ascii="Candara" w:hAnsi="Candara"/>
                <w:i/>
                <w:iCs/>
                <w:sz w:val="21"/>
                <w:szCs w:val="21"/>
                <w:lang w:val="es-PE"/>
              </w:rPr>
              <w:t>Administradora de la RED de salud Acobamba</w:t>
            </w:r>
          </w:p>
        </w:tc>
      </w:tr>
      <w:tr w:rsidR="007E728C" w:rsidRPr="004C5F87" w14:paraId="6DD7BA87" w14:textId="77777777" w:rsidTr="00F2312C">
        <w:tc>
          <w:tcPr>
            <w:tcW w:w="1560" w:type="dxa"/>
          </w:tcPr>
          <w:p w14:paraId="218196A2" w14:textId="77777777" w:rsidR="007E728C" w:rsidRPr="004C5F87" w:rsidRDefault="007E728C" w:rsidP="00F2312C">
            <w:pPr>
              <w:tabs>
                <w:tab w:val="left" w:pos="993"/>
              </w:tabs>
              <w:rPr>
                <w:rFonts w:ascii="Candara" w:hAnsi="Candara" w:cs="Arial"/>
                <w:b/>
                <w:bCs/>
                <w:i/>
                <w:iCs/>
                <w:sz w:val="21"/>
                <w:szCs w:val="21"/>
              </w:rPr>
            </w:pPr>
            <w:r w:rsidRPr="004C5F87">
              <w:rPr>
                <w:rFonts w:ascii="Candara" w:hAnsi="Candara" w:cs="Arial"/>
                <w:b/>
                <w:bCs/>
                <w:i/>
                <w:iCs/>
                <w:sz w:val="21"/>
                <w:szCs w:val="21"/>
                <w:lang w:val="es-PE"/>
              </w:rPr>
              <w:t>ASUNTO</w:t>
            </w:r>
          </w:p>
        </w:tc>
        <w:tc>
          <w:tcPr>
            <w:tcW w:w="283" w:type="dxa"/>
          </w:tcPr>
          <w:p w14:paraId="037C79E8" w14:textId="77777777" w:rsidR="007E728C" w:rsidRPr="004C5F87" w:rsidRDefault="007E728C" w:rsidP="00F2312C">
            <w:pPr>
              <w:tabs>
                <w:tab w:val="left" w:pos="993"/>
              </w:tabs>
              <w:rPr>
                <w:rFonts w:ascii="Candara" w:hAnsi="Candara" w:cs="Arial"/>
                <w:b/>
                <w:bCs/>
                <w:i/>
                <w:iCs/>
                <w:sz w:val="21"/>
                <w:szCs w:val="21"/>
              </w:rPr>
            </w:pPr>
            <w:r w:rsidRPr="004C5F87">
              <w:rPr>
                <w:rFonts w:ascii="Candara" w:hAnsi="Candara" w:cs="Arial"/>
                <w:b/>
                <w:bCs/>
                <w:i/>
                <w:iCs/>
                <w:sz w:val="21"/>
                <w:szCs w:val="21"/>
              </w:rPr>
              <w:t>:</w:t>
            </w:r>
          </w:p>
        </w:tc>
        <w:tc>
          <w:tcPr>
            <w:tcW w:w="6951" w:type="dxa"/>
          </w:tcPr>
          <w:p w14:paraId="595D5D78" w14:textId="77777777" w:rsidR="007E728C" w:rsidRPr="004C5F87" w:rsidRDefault="007E728C" w:rsidP="00F2312C">
            <w:pPr>
              <w:tabs>
                <w:tab w:val="left" w:pos="993"/>
              </w:tabs>
              <w:jc w:val="both"/>
              <w:rPr>
                <w:rFonts w:ascii="Candara" w:hAnsi="Candara" w:cs="Arial"/>
                <w:b/>
                <w:bCs/>
                <w:i/>
                <w:iCs/>
                <w:sz w:val="21"/>
                <w:szCs w:val="21"/>
              </w:rPr>
            </w:pPr>
            <w:r w:rsidRPr="004C5F87">
              <w:rPr>
                <w:rFonts w:ascii="Candara" w:hAnsi="Candara" w:cs="Arial"/>
                <w:i/>
                <w:iCs/>
                <w:sz w:val="21"/>
                <w:szCs w:val="21"/>
                <w:lang w:val="es-PE"/>
              </w:rPr>
              <w:t>Solicito aprobación de modificación del CMN (anexo 05 – SIGA)</w:t>
            </w:r>
          </w:p>
        </w:tc>
      </w:tr>
      <w:tr w:rsidR="007E728C" w:rsidRPr="004C5F87" w14:paraId="1F5D3596" w14:textId="77777777" w:rsidTr="00F2312C">
        <w:trPr>
          <w:trHeight w:val="80"/>
        </w:trPr>
        <w:tc>
          <w:tcPr>
            <w:tcW w:w="1560" w:type="dxa"/>
          </w:tcPr>
          <w:p w14:paraId="081BC981" w14:textId="77777777" w:rsidR="007E728C" w:rsidRPr="004C5F87" w:rsidRDefault="007E728C" w:rsidP="00F2312C">
            <w:pPr>
              <w:tabs>
                <w:tab w:val="left" w:pos="993"/>
              </w:tabs>
              <w:rPr>
                <w:rFonts w:ascii="Candara" w:hAnsi="Candara" w:cs="Arial"/>
                <w:b/>
                <w:bCs/>
                <w:i/>
                <w:iCs/>
                <w:sz w:val="21"/>
                <w:szCs w:val="21"/>
              </w:rPr>
            </w:pPr>
            <w:r w:rsidRPr="004C5F87">
              <w:rPr>
                <w:rFonts w:ascii="Candara" w:hAnsi="Candara" w:cs="Arial"/>
                <w:b/>
                <w:bCs/>
                <w:i/>
                <w:iCs/>
                <w:sz w:val="21"/>
                <w:szCs w:val="21"/>
                <w:lang w:val="es-PE"/>
              </w:rPr>
              <w:t>FECHA</w:t>
            </w:r>
          </w:p>
        </w:tc>
        <w:tc>
          <w:tcPr>
            <w:tcW w:w="283" w:type="dxa"/>
          </w:tcPr>
          <w:p w14:paraId="2D0E021A" w14:textId="77777777" w:rsidR="007E728C" w:rsidRPr="004C5F87" w:rsidRDefault="007E728C" w:rsidP="00F2312C">
            <w:pPr>
              <w:tabs>
                <w:tab w:val="left" w:pos="993"/>
              </w:tabs>
              <w:rPr>
                <w:rFonts w:ascii="Candara" w:hAnsi="Candara" w:cs="Arial"/>
                <w:b/>
                <w:bCs/>
                <w:i/>
                <w:iCs/>
                <w:sz w:val="21"/>
                <w:szCs w:val="21"/>
              </w:rPr>
            </w:pPr>
            <w:r w:rsidRPr="004C5F87">
              <w:rPr>
                <w:rFonts w:ascii="Candara" w:hAnsi="Candara" w:cs="Arial"/>
                <w:b/>
                <w:bCs/>
                <w:i/>
                <w:iCs/>
                <w:sz w:val="21"/>
                <w:szCs w:val="21"/>
              </w:rPr>
              <w:t>:</w:t>
            </w:r>
          </w:p>
        </w:tc>
        <w:tc>
          <w:tcPr>
            <w:tcW w:w="6951" w:type="dxa"/>
          </w:tcPr>
          <w:p w14:paraId="0D7367AE" w14:textId="264926E4" w:rsidR="007E728C" w:rsidRPr="004C5F87" w:rsidRDefault="007E728C" w:rsidP="00F2312C">
            <w:pPr>
              <w:tabs>
                <w:tab w:val="left" w:pos="993"/>
              </w:tabs>
              <w:rPr>
                <w:rFonts w:ascii="Candara" w:hAnsi="Candara" w:cs="Arial"/>
                <w:b/>
                <w:bCs/>
                <w:i/>
                <w:iCs/>
                <w:sz w:val="21"/>
                <w:szCs w:val="21"/>
              </w:rPr>
            </w:pPr>
            <w:r w:rsidRPr="004C5F87">
              <w:rPr>
                <w:rFonts w:ascii="Candara" w:hAnsi="Candara" w:cs="Arial"/>
                <w:i/>
                <w:iCs/>
                <w:sz w:val="21"/>
                <w:szCs w:val="21"/>
                <w:lang w:val="es-PE"/>
              </w:rPr>
              <w:t>Acobamba, 1</w:t>
            </w:r>
            <w:r w:rsidR="006944F2">
              <w:rPr>
                <w:rFonts w:ascii="Candara" w:hAnsi="Candara" w:cs="Arial"/>
                <w:i/>
                <w:iCs/>
                <w:sz w:val="21"/>
                <w:szCs w:val="21"/>
                <w:lang w:val="es-PE"/>
              </w:rPr>
              <w:t>8</w:t>
            </w:r>
            <w:r w:rsidRPr="004C5F87">
              <w:rPr>
                <w:rFonts w:ascii="Candara" w:hAnsi="Candara" w:cs="Arial"/>
                <w:i/>
                <w:iCs/>
                <w:sz w:val="21"/>
                <w:szCs w:val="21"/>
                <w:lang w:val="es-PE"/>
              </w:rPr>
              <w:t xml:space="preserve"> de </w:t>
            </w:r>
            <w:proofErr w:type="gramStart"/>
            <w:r w:rsidRPr="004C5F87">
              <w:rPr>
                <w:rFonts w:ascii="Candara" w:hAnsi="Candara" w:cs="Arial"/>
                <w:i/>
                <w:iCs/>
                <w:sz w:val="21"/>
                <w:szCs w:val="21"/>
                <w:lang w:val="es-PE"/>
              </w:rPr>
              <w:t>Marzo</w:t>
            </w:r>
            <w:proofErr w:type="gramEnd"/>
            <w:r w:rsidRPr="004C5F87">
              <w:rPr>
                <w:rFonts w:ascii="Candara" w:hAnsi="Candara" w:cs="Arial"/>
                <w:i/>
                <w:iCs/>
                <w:sz w:val="21"/>
                <w:szCs w:val="21"/>
                <w:lang w:val="es-PE"/>
              </w:rPr>
              <w:t xml:space="preserve"> del 2026</w:t>
            </w:r>
          </w:p>
        </w:tc>
      </w:tr>
    </w:tbl>
    <w:p w14:paraId="55DD77E2" w14:textId="77777777" w:rsidR="007E728C" w:rsidRPr="004C5F87" w:rsidRDefault="007E728C" w:rsidP="007E728C">
      <w:pPr>
        <w:pBdr>
          <w:bottom w:val="single" w:sz="12" w:space="5" w:color="000000"/>
        </w:pBdr>
        <w:rPr>
          <w:rFonts w:ascii="Candara" w:hAnsi="Candara" w:cs="Arial"/>
          <w:i/>
          <w:iCs/>
          <w:sz w:val="21"/>
          <w:szCs w:val="21"/>
          <w:lang w:val="es-PE"/>
        </w:rPr>
      </w:pPr>
    </w:p>
    <w:p w14:paraId="2C4D0261" w14:textId="77777777" w:rsidR="007E728C" w:rsidRPr="004C5F87" w:rsidRDefault="007E728C" w:rsidP="007E728C">
      <w:pPr>
        <w:jc w:val="both"/>
        <w:rPr>
          <w:rFonts w:ascii="Candara" w:hAnsi="Candara" w:cs="Arial"/>
          <w:b/>
          <w:color w:val="000000"/>
          <w:sz w:val="21"/>
          <w:szCs w:val="21"/>
          <w:lang w:val="es-PE"/>
        </w:rPr>
      </w:pPr>
    </w:p>
    <w:p w14:paraId="1FC01DC1" w14:textId="77777777" w:rsidR="000B0132" w:rsidRDefault="007E728C" w:rsidP="007E728C">
      <w:pPr>
        <w:spacing w:after="160" w:line="257" w:lineRule="auto"/>
        <w:jc w:val="both"/>
        <w:rPr>
          <w:rFonts w:ascii="Candara" w:hAnsi="Candara" w:cs="Arial"/>
          <w:sz w:val="21"/>
          <w:szCs w:val="21"/>
          <w:lang w:val="es-PE"/>
        </w:rPr>
      </w:pPr>
      <w:r w:rsidRPr="004C5F87">
        <w:rPr>
          <w:rFonts w:ascii="Candara" w:hAnsi="Candara" w:cs="Arial"/>
          <w:sz w:val="21"/>
          <w:szCs w:val="21"/>
          <w:lang w:val="es-PE"/>
        </w:rPr>
        <w:t xml:space="preserve">                                 Mediante la presente me dirijo a Ud. Para saludarlo cordialmente a nombre de la Unidad de Abastecimiento, y a su vez </w:t>
      </w:r>
      <w:proofErr w:type="gramStart"/>
      <w:r w:rsidRPr="004C5F87">
        <w:rPr>
          <w:rFonts w:ascii="Candara" w:hAnsi="Candara" w:cs="Arial"/>
          <w:sz w:val="21"/>
          <w:szCs w:val="21"/>
          <w:lang w:val="es-PE"/>
        </w:rPr>
        <w:t>informar</w:t>
      </w:r>
      <w:proofErr w:type="gramEnd"/>
      <w:r w:rsidRPr="004C5F87">
        <w:rPr>
          <w:rFonts w:ascii="Candara" w:hAnsi="Candara" w:cs="Arial"/>
          <w:sz w:val="21"/>
          <w:szCs w:val="21"/>
          <w:lang w:val="es-PE"/>
        </w:rPr>
        <w:t xml:space="preserve"> que existe la necesidad de la modificación del CMN 2026, a la vez, solicitar la aprobación y publicación del anexo 06 “Aprobación de la modificación al cuadro multianual de necesidades”.</w:t>
      </w:r>
    </w:p>
    <w:p w14:paraId="21136E93" w14:textId="36D18AA1" w:rsidR="007E728C" w:rsidRPr="000B0132" w:rsidRDefault="007E728C" w:rsidP="007E728C">
      <w:pPr>
        <w:spacing w:after="160" w:line="257" w:lineRule="auto"/>
        <w:jc w:val="both"/>
        <w:rPr>
          <w:rFonts w:ascii="Candara" w:hAnsi="Candara" w:cs="Arial"/>
          <w:sz w:val="21"/>
          <w:szCs w:val="21"/>
          <w:lang w:val="es-PE"/>
        </w:rPr>
      </w:pPr>
      <w:r w:rsidRPr="004C5F87">
        <w:rPr>
          <w:rFonts w:ascii="Candara" w:hAnsi="Candara" w:cs="Arial"/>
          <w:b/>
          <w:sz w:val="21"/>
          <w:szCs w:val="21"/>
          <w:lang w:val="es-PE"/>
        </w:rPr>
        <w:t>BASES LEGALES.</w:t>
      </w:r>
    </w:p>
    <w:p w14:paraId="0185CC15" w14:textId="77777777" w:rsidR="007E728C" w:rsidRPr="004C5F87" w:rsidRDefault="007E728C" w:rsidP="007E728C">
      <w:pPr>
        <w:pStyle w:val="Prrafodelista"/>
        <w:numPr>
          <w:ilvl w:val="0"/>
          <w:numId w:val="1"/>
        </w:numPr>
        <w:spacing w:after="160" w:line="257" w:lineRule="auto"/>
        <w:jc w:val="both"/>
        <w:rPr>
          <w:rFonts w:ascii="Candara" w:hAnsi="Candara" w:cs="Arial"/>
          <w:sz w:val="21"/>
          <w:szCs w:val="21"/>
          <w:lang w:val="es-PE"/>
        </w:rPr>
      </w:pPr>
      <w:r w:rsidRPr="004C5F87">
        <w:rPr>
          <w:rFonts w:ascii="Candara" w:hAnsi="Candara" w:cs="Arial"/>
          <w:sz w:val="21"/>
          <w:szCs w:val="21"/>
          <w:lang w:val="es-PE"/>
        </w:rPr>
        <w:t>Resolución Directoral Nª0014-2021-EF/54.01 del 26 de diciembre 2021, la dirección general de abastecimiento (DGA – MEF) aprobó la Directiva Nª005-2021 -EF/54.01 “Directiva para la Programación Multianual de Bienes, Servicios y Obras” así como parte de ellos. Los anexos Nª01, Nª02, Nª03, Nª04, Nª05 y Nª06.</w:t>
      </w:r>
    </w:p>
    <w:p w14:paraId="04F2EA78" w14:textId="77777777" w:rsidR="007E728C" w:rsidRPr="004C5F87" w:rsidRDefault="007E728C" w:rsidP="007E728C">
      <w:pPr>
        <w:pStyle w:val="Prrafodelista"/>
        <w:numPr>
          <w:ilvl w:val="0"/>
          <w:numId w:val="1"/>
        </w:numPr>
        <w:spacing w:after="160" w:line="257" w:lineRule="auto"/>
        <w:jc w:val="both"/>
        <w:rPr>
          <w:rFonts w:ascii="Candara" w:hAnsi="Candara" w:cs="Arial"/>
          <w:sz w:val="21"/>
          <w:szCs w:val="21"/>
          <w:lang w:val="es-PE"/>
        </w:rPr>
      </w:pPr>
      <w:r w:rsidRPr="004C5F87">
        <w:rPr>
          <w:rFonts w:ascii="Candara" w:hAnsi="Candara" w:cs="Arial"/>
          <w:sz w:val="21"/>
          <w:szCs w:val="21"/>
          <w:lang w:val="es-PE"/>
        </w:rPr>
        <w:t xml:space="preserve">Resolución Directoral </w:t>
      </w:r>
      <w:proofErr w:type="spellStart"/>
      <w:r w:rsidRPr="004C5F87">
        <w:rPr>
          <w:rFonts w:ascii="Candara" w:hAnsi="Candara" w:cs="Arial"/>
          <w:sz w:val="21"/>
          <w:szCs w:val="21"/>
          <w:lang w:val="es-PE"/>
        </w:rPr>
        <w:t>N°</w:t>
      </w:r>
      <w:proofErr w:type="spellEnd"/>
      <w:r w:rsidRPr="004C5F87">
        <w:rPr>
          <w:rFonts w:ascii="Candara" w:hAnsi="Candara" w:cs="Arial"/>
          <w:sz w:val="21"/>
          <w:szCs w:val="21"/>
          <w:lang w:val="es-PE"/>
        </w:rPr>
        <w:t xml:space="preserve"> 0022-2025-EF/54.01 del 12 de junio 2025 que modifica a la Directiva Nª005-2021 -EF/54.01 “Directiva para la Programación Multianual de Bienes, Servicios y Obras”  </w:t>
      </w:r>
    </w:p>
    <w:p w14:paraId="7619B0D8" w14:textId="77777777" w:rsidR="007E728C" w:rsidRPr="004C5F87" w:rsidRDefault="007E728C" w:rsidP="007E728C">
      <w:pPr>
        <w:spacing w:after="160" w:line="257" w:lineRule="auto"/>
        <w:jc w:val="both"/>
        <w:rPr>
          <w:rFonts w:ascii="Candara" w:hAnsi="Candara" w:cs="Arial"/>
          <w:b/>
          <w:sz w:val="21"/>
          <w:szCs w:val="21"/>
          <w:lang w:val="es-PE"/>
        </w:rPr>
      </w:pPr>
      <w:r w:rsidRPr="004C5F87">
        <w:rPr>
          <w:rFonts w:ascii="Candara" w:hAnsi="Candara" w:cs="Arial"/>
          <w:b/>
          <w:sz w:val="21"/>
          <w:szCs w:val="21"/>
          <w:lang w:val="es-PE"/>
        </w:rPr>
        <w:t>ANTECEDENTES.</w:t>
      </w:r>
    </w:p>
    <w:p w14:paraId="52A23D18" w14:textId="77777777" w:rsidR="007E728C" w:rsidRPr="004C5F87" w:rsidRDefault="007E728C" w:rsidP="007E728C">
      <w:pPr>
        <w:pStyle w:val="Prrafodelista"/>
        <w:numPr>
          <w:ilvl w:val="0"/>
          <w:numId w:val="1"/>
        </w:numPr>
        <w:spacing w:after="160" w:line="257" w:lineRule="auto"/>
        <w:jc w:val="both"/>
        <w:rPr>
          <w:rFonts w:ascii="Candara" w:hAnsi="Candara" w:cs="Arial"/>
          <w:sz w:val="21"/>
          <w:szCs w:val="21"/>
          <w:lang w:val="es-PE"/>
        </w:rPr>
      </w:pPr>
      <w:r w:rsidRPr="004C5F87">
        <w:rPr>
          <w:rFonts w:ascii="Candara" w:hAnsi="Candara" w:cs="Arial"/>
          <w:sz w:val="21"/>
          <w:szCs w:val="21"/>
          <w:lang w:val="es-PE"/>
        </w:rPr>
        <w:t>No se realizó una adecuada programación del CMN para la ejecución presupuestal del año fiscal 2026- SIGA.</w:t>
      </w:r>
    </w:p>
    <w:p w14:paraId="0F4CADC7" w14:textId="653DBD89" w:rsidR="007E728C" w:rsidRPr="004C5F87" w:rsidRDefault="007E728C" w:rsidP="007E728C">
      <w:pPr>
        <w:jc w:val="both"/>
        <w:rPr>
          <w:rFonts w:ascii="Candara" w:hAnsi="Candara" w:cs="Arial"/>
          <w:b/>
          <w:sz w:val="21"/>
          <w:szCs w:val="21"/>
          <w:lang w:val="es-PE"/>
        </w:rPr>
      </w:pPr>
      <w:r w:rsidRPr="004C5F87">
        <w:rPr>
          <w:rFonts w:ascii="Candara" w:hAnsi="Candara" w:cs="Arial"/>
          <w:b/>
          <w:sz w:val="21"/>
          <w:szCs w:val="21"/>
          <w:lang w:val="es-PE"/>
        </w:rPr>
        <w:t>CONCLUSIÓN.</w:t>
      </w:r>
    </w:p>
    <w:p w14:paraId="0BB35362" w14:textId="77777777" w:rsidR="007E728C" w:rsidRPr="004C5F87" w:rsidRDefault="007E728C" w:rsidP="007E728C">
      <w:pPr>
        <w:jc w:val="both"/>
        <w:rPr>
          <w:rFonts w:ascii="Candara" w:hAnsi="Candara" w:cs="Arial"/>
          <w:sz w:val="21"/>
          <w:szCs w:val="21"/>
          <w:lang w:val="es-PE"/>
        </w:rPr>
      </w:pPr>
      <w:r w:rsidRPr="004C5F87">
        <w:rPr>
          <w:rFonts w:ascii="Candara" w:hAnsi="Candara" w:cs="Arial"/>
          <w:sz w:val="21"/>
          <w:szCs w:val="21"/>
          <w:lang w:val="es-PE"/>
        </w:rPr>
        <w:t>Por lo expuesto, se concluye que las solicitudes de modificación al CMN son viables toda vez que los formatos del anexo Nª05, solicitud de modificación del cuadro multianual de necesidades, se encuentra elaborados bajo los criterios establecidos en la Programación de Bienes, Servicios y Obras – PMBSO, cuentan asimismo con la disponibilidad presupuestal y cumplen con el sustento para la modificación del CMN, conforme precisa en su Art. 32 de la Directiva Nª007-2025 -EF/54.01 “Directiva para la Programación Multianual de Bienes, Servicios y Obras”  a fin que la modificación pueda ser aprobada excepcionalmente al sustento.</w:t>
      </w:r>
    </w:p>
    <w:p w14:paraId="06CD872C" w14:textId="71C60295" w:rsidR="007E728C" w:rsidRDefault="007E728C" w:rsidP="007E728C">
      <w:pPr>
        <w:jc w:val="both"/>
        <w:rPr>
          <w:rFonts w:ascii="Candara" w:hAnsi="Candara" w:cs="Arial"/>
          <w:b/>
          <w:bCs/>
          <w:sz w:val="21"/>
          <w:szCs w:val="21"/>
          <w:lang w:val="es-PE"/>
        </w:rPr>
      </w:pPr>
      <w:r w:rsidRPr="000B0132">
        <w:rPr>
          <w:rFonts w:ascii="Candara" w:hAnsi="Candara" w:cs="Arial"/>
          <w:b/>
          <w:bCs/>
          <w:sz w:val="21"/>
          <w:szCs w:val="21"/>
          <w:lang w:val="es-PE"/>
        </w:rPr>
        <w:t>Adjunto Anexo 05</w:t>
      </w:r>
    </w:p>
    <w:p w14:paraId="43D1CDF1" w14:textId="5C62C746" w:rsidR="00E00D0B" w:rsidRPr="00E00D0B" w:rsidRDefault="00E00D0B" w:rsidP="00E00D0B">
      <w:pPr>
        <w:pStyle w:val="Prrafodelista"/>
        <w:numPr>
          <w:ilvl w:val="0"/>
          <w:numId w:val="2"/>
        </w:numPr>
        <w:jc w:val="both"/>
        <w:rPr>
          <w:rFonts w:ascii="Candara" w:hAnsi="Candara" w:cs="Arial"/>
          <w:b/>
          <w:bCs/>
          <w:sz w:val="21"/>
          <w:szCs w:val="21"/>
          <w:lang w:val="es-PE"/>
        </w:rPr>
      </w:pPr>
      <w:r>
        <w:rPr>
          <w:rFonts w:ascii="Candara" w:hAnsi="Candara" w:cs="Arial"/>
          <w:b/>
          <w:bCs/>
          <w:sz w:val="21"/>
          <w:szCs w:val="21"/>
          <w:lang w:val="es-PE"/>
        </w:rPr>
        <w:t>N°0000000358</w:t>
      </w:r>
    </w:p>
    <w:p w14:paraId="15C75EB5" w14:textId="77777777" w:rsidR="00321FD2" w:rsidRPr="004C5F87" w:rsidRDefault="00321FD2" w:rsidP="007E728C">
      <w:pPr>
        <w:jc w:val="both"/>
        <w:rPr>
          <w:rFonts w:ascii="Candara" w:hAnsi="Candara" w:cs="Arial"/>
          <w:sz w:val="21"/>
          <w:szCs w:val="21"/>
          <w:lang w:val="es-PE"/>
        </w:rPr>
      </w:pPr>
    </w:p>
    <w:p w14:paraId="5377553B" w14:textId="1F84D4B0" w:rsidR="00321FD2" w:rsidRPr="004C5F87" w:rsidRDefault="00321FD2" w:rsidP="007E728C">
      <w:pPr>
        <w:jc w:val="both"/>
        <w:rPr>
          <w:rFonts w:ascii="Candara" w:hAnsi="Candara" w:cs="Arial"/>
          <w:sz w:val="21"/>
          <w:szCs w:val="21"/>
          <w:lang w:val="es-PE"/>
        </w:rPr>
      </w:pPr>
    </w:p>
    <w:p w14:paraId="240DA3A8" w14:textId="77777777" w:rsidR="007E728C" w:rsidRPr="004C5F87" w:rsidRDefault="007E728C" w:rsidP="007E728C">
      <w:pPr>
        <w:spacing w:after="160" w:line="257" w:lineRule="auto"/>
        <w:jc w:val="both"/>
        <w:rPr>
          <w:rFonts w:ascii="Candara" w:hAnsi="Candara" w:cs="Arial"/>
          <w:sz w:val="21"/>
          <w:szCs w:val="21"/>
          <w:lang w:val="es-PE"/>
        </w:rPr>
      </w:pPr>
      <w:r w:rsidRPr="004C5F87">
        <w:rPr>
          <w:rFonts w:ascii="Candara" w:hAnsi="Candara" w:cs="Arial"/>
          <w:sz w:val="21"/>
          <w:szCs w:val="21"/>
          <w:lang w:val="es-PE"/>
        </w:rPr>
        <w:t>Es cuanto informo para su conocimiento y fines que crea conveniente</w:t>
      </w:r>
    </w:p>
    <w:p w14:paraId="3A4C3B19" w14:textId="77777777" w:rsidR="007E728C" w:rsidRPr="004C5F87" w:rsidRDefault="007E728C" w:rsidP="007E728C">
      <w:pPr>
        <w:jc w:val="center"/>
        <w:rPr>
          <w:rFonts w:ascii="Candara" w:hAnsi="Candara" w:cs="Arial"/>
          <w:b/>
          <w:sz w:val="21"/>
          <w:szCs w:val="21"/>
          <w:lang w:val="es-PE"/>
        </w:rPr>
      </w:pPr>
      <w:r w:rsidRPr="004C5F87">
        <w:rPr>
          <w:rFonts w:ascii="Candara" w:hAnsi="Candara" w:cs="Arial"/>
          <w:b/>
          <w:sz w:val="21"/>
          <w:szCs w:val="21"/>
          <w:lang w:val="es-PE"/>
        </w:rPr>
        <w:t>Atentamente;</w:t>
      </w:r>
    </w:p>
    <w:p w14:paraId="19840A79" w14:textId="77777777" w:rsidR="007E728C" w:rsidRDefault="007E728C" w:rsidP="007E728C">
      <w:pPr>
        <w:rPr>
          <w:rFonts w:ascii="Bookman Old Style" w:hAnsi="Bookman Old Style"/>
          <w:b/>
          <w:i/>
          <w:sz w:val="16"/>
          <w:szCs w:val="18"/>
        </w:rPr>
      </w:pPr>
      <w:proofErr w:type="spellStart"/>
      <w:r>
        <w:rPr>
          <w:rFonts w:ascii="Bookman Old Style" w:hAnsi="Bookman Old Style"/>
          <w:b/>
          <w:i/>
          <w:sz w:val="16"/>
          <w:szCs w:val="18"/>
        </w:rPr>
        <w:t>Cc</w:t>
      </w:r>
      <w:proofErr w:type="spellEnd"/>
    </w:p>
    <w:p w14:paraId="79927602" w14:textId="77777777" w:rsidR="007E728C" w:rsidRDefault="007E728C" w:rsidP="007E728C">
      <w:pPr>
        <w:rPr>
          <w:rFonts w:ascii="Bookman Old Style" w:hAnsi="Bookman Old Style"/>
          <w:b/>
          <w:i/>
          <w:sz w:val="16"/>
          <w:szCs w:val="18"/>
        </w:rPr>
      </w:pPr>
      <w:r>
        <w:rPr>
          <w:rFonts w:ascii="Bookman Old Style" w:hAnsi="Bookman Old Style"/>
          <w:b/>
          <w:i/>
          <w:sz w:val="16"/>
          <w:szCs w:val="18"/>
        </w:rPr>
        <w:t>Archivo</w:t>
      </w:r>
    </w:p>
    <w:tbl>
      <w:tblPr>
        <w:tblStyle w:val="Tablaconcuadrcula"/>
        <w:tblW w:w="3495" w:type="dxa"/>
        <w:tblLook w:val="04A0" w:firstRow="1" w:lastRow="0" w:firstColumn="1" w:lastColumn="0" w:noHBand="0" w:noVBand="1"/>
      </w:tblPr>
      <w:tblGrid>
        <w:gridCol w:w="968"/>
        <w:gridCol w:w="2527"/>
      </w:tblGrid>
      <w:tr w:rsidR="007E728C" w14:paraId="092E34CB" w14:textId="77777777" w:rsidTr="007E728C">
        <w:trPr>
          <w:trHeight w:val="359"/>
        </w:trPr>
        <w:tc>
          <w:tcPr>
            <w:tcW w:w="968" w:type="dxa"/>
            <w:tcBorders>
              <w:top w:val="single" w:sz="4" w:space="0" w:color="000000"/>
              <w:left w:val="single" w:sz="4" w:space="0" w:color="000000"/>
              <w:bottom w:val="single" w:sz="4" w:space="0" w:color="000000"/>
              <w:right w:val="single" w:sz="4" w:space="0" w:color="000000"/>
            </w:tcBorders>
          </w:tcPr>
          <w:p w14:paraId="02C61175" w14:textId="77777777" w:rsidR="007E728C" w:rsidRDefault="007E728C" w:rsidP="00F2312C">
            <w:pPr>
              <w:jc w:val="center"/>
              <w:rPr>
                <w:rFonts w:ascii="Bookman Old Style" w:hAnsi="Bookman Old Style"/>
                <w:b/>
                <w:iCs/>
                <w:sz w:val="16"/>
                <w:szCs w:val="18"/>
              </w:rPr>
            </w:pPr>
            <w:r>
              <w:rPr>
                <w:rFonts w:ascii="Bookman Old Style" w:hAnsi="Bookman Old Style"/>
                <w:b/>
                <w:iCs/>
                <w:sz w:val="16"/>
                <w:szCs w:val="18"/>
              </w:rPr>
              <w:t>DOC</w:t>
            </w:r>
          </w:p>
        </w:tc>
        <w:tc>
          <w:tcPr>
            <w:tcW w:w="2527" w:type="dxa"/>
            <w:tcBorders>
              <w:top w:val="single" w:sz="4" w:space="0" w:color="000000"/>
              <w:left w:val="single" w:sz="4" w:space="0" w:color="000000"/>
              <w:bottom w:val="single" w:sz="4" w:space="0" w:color="000000"/>
              <w:right w:val="single" w:sz="4" w:space="0" w:color="000000"/>
            </w:tcBorders>
            <w:shd w:val="solid" w:color="FFFFFF" w:fill="auto"/>
          </w:tcPr>
          <w:p w14:paraId="03986A2F" w14:textId="5483B0BB" w:rsidR="007E728C" w:rsidRPr="00C21EC8" w:rsidRDefault="007E728C" w:rsidP="006944F2">
            <w:pPr>
              <w:tabs>
                <w:tab w:val="left" w:pos="1128"/>
              </w:tabs>
              <w:rPr>
                <w:rFonts w:ascii="Bookman Old Style" w:hAnsi="Bookman Old Style"/>
                <w:b/>
                <w:iCs/>
                <w:sz w:val="20"/>
                <w:szCs w:val="20"/>
              </w:rPr>
            </w:pPr>
          </w:p>
        </w:tc>
      </w:tr>
      <w:tr w:rsidR="007E728C" w14:paraId="2194A5BB" w14:textId="77777777" w:rsidTr="007E728C">
        <w:trPr>
          <w:trHeight w:val="359"/>
        </w:trPr>
        <w:tc>
          <w:tcPr>
            <w:tcW w:w="968" w:type="dxa"/>
            <w:tcBorders>
              <w:top w:val="single" w:sz="4" w:space="0" w:color="000000"/>
              <w:left w:val="single" w:sz="4" w:space="0" w:color="000000"/>
              <w:bottom w:val="single" w:sz="4" w:space="0" w:color="000000"/>
              <w:right w:val="single" w:sz="4" w:space="0" w:color="000000"/>
            </w:tcBorders>
          </w:tcPr>
          <w:p w14:paraId="4CABFE31" w14:textId="77777777" w:rsidR="007E728C" w:rsidRDefault="007E728C" w:rsidP="00F2312C">
            <w:pPr>
              <w:jc w:val="center"/>
              <w:rPr>
                <w:rFonts w:ascii="Bookman Old Style" w:hAnsi="Bookman Old Style"/>
                <w:b/>
                <w:iCs/>
                <w:sz w:val="16"/>
                <w:szCs w:val="18"/>
              </w:rPr>
            </w:pPr>
            <w:r>
              <w:rPr>
                <w:rFonts w:ascii="Bookman Old Style" w:hAnsi="Bookman Old Style"/>
                <w:b/>
                <w:iCs/>
                <w:sz w:val="16"/>
                <w:szCs w:val="18"/>
              </w:rPr>
              <w:t>EXP</w:t>
            </w:r>
          </w:p>
        </w:tc>
        <w:tc>
          <w:tcPr>
            <w:tcW w:w="2527" w:type="dxa"/>
            <w:tcBorders>
              <w:top w:val="single" w:sz="4" w:space="0" w:color="000000"/>
              <w:left w:val="single" w:sz="4" w:space="0" w:color="000000"/>
              <w:bottom w:val="single" w:sz="4" w:space="0" w:color="000000"/>
              <w:right w:val="single" w:sz="4" w:space="0" w:color="000000"/>
            </w:tcBorders>
            <w:shd w:val="solid" w:color="FFFFFF" w:fill="auto"/>
          </w:tcPr>
          <w:p w14:paraId="7D43800E" w14:textId="5B1FC9C7" w:rsidR="007E728C" w:rsidRPr="00C21EC8" w:rsidRDefault="007E728C" w:rsidP="001A1940">
            <w:pPr>
              <w:rPr>
                <w:rFonts w:ascii="Bookman Old Style" w:hAnsi="Bookman Old Style"/>
                <w:b/>
                <w:iCs/>
                <w:sz w:val="20"/>
                <w:szCs w:val="20"/>
              </w:rPr>
            </w:pPr>
          </w:p>
        </w:tc>
      </w:tr>
    </w:tbl>
    <w:p w14:paraId="5EA6A829" w14:textId="77777777" w:rsidR="008A03A7" w:rsidRDefault="008A03A7" w:rsidP="00B0305E">
      <w:pPr>
        <w:spacing w:after="160" w:line="259" w:lineRule="auto"/>
      </w:pPr>
    </w:p>
    <w:sectPr w:rsidR="008A03A7" w:rsidSect="001B080A">
      <w:headerReference w:type="default" r:id="rId7"/>
      <w:pgSz w:w="11906" w:h="16838"/>
      <w:pgMar w:top="1276" w:right="1701" w:bottom="1417" w:left="1701" w:header="708"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3766" w14:textId="77777777" w:rsidR="00850EDD" w:rsidRDefault="00850EDD" w:rsidP="007E728C">
      <w:r>
        <w:separator/>
      </w:r>
    </w:p>
  </w:endnote>
  <w:endnote w:type="continuationSeparator" w:id="0">
    <w:p w14:paraId="58831573" w14:textId="77777777" w:rsidR="00850EDD" w:rsidRDefault="00850EDD" w:rsidP="007E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B05E" w14:textId="77777777" w:rsidR="00850EDD" w:rsidRDefault="00850EDD" w:rsidP="007E728C">
      <w:r>
        <w:separator/>
      </w:r>
    </w:p>
  </w:footnote>
  <w:footnote w:type="continuationSeparator" w:id="0">
    <w:p w14:paraId="33915C20" w14:textId="77777777" w:rsidR="00850EDD" w:rsidRDefault="00850EDD" w:rsidP="007E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717F" w14:textId="45E9E40A" w:rsidR="00000000" w:rsidRDefault="00EB7F3E">
    <w:pPr>
      <w:pStyle w:val="Encabezado"/>
    </w:pPr>
    <w:r>
      <w:rPr>
        <w:noProof/>
      </w:rPr>
      <w:drawing>
        <wp:anchor distT="0" distB="0" distL="114300" distR="114300" simplePos="0" relativeHeight="251660288" behindDoc="0" locked="0" layoutInCell="0" allowOverlap="1" wp14:anchorId="45BAFEE2" wp14:editId="0988B376">
          <wp:simplePos x="0" y="0"/>
          <wp:positionH relativeFrom="margin">
            <wp:posOffset>5087586</wp:posOffset>
          </wp:positionH>
          <wp:positionV relativeFrom="paragraph">
            <wp:posOffset>-313913</wp:posOffset>
          </wp:positionV>
          <wp:extent cx="611505" cy="733425"/>
          <wp:effectExtent l="0" t="0" r="1714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pic:cNvPicPr>
                    <a:picLocks noChangeAspect="1"/>
                  </pic:cNvPicPr>
                </pic:nvPicPr>
                <pic:blipFill>
                  <a:blip r:embed="rId1"/>
                  <a:stretch>
                    <a:fillRect/>
                  </a:stretch>
                </pic:blipFill>
                <pic:spPr>
                  <a:xfrm>
                    <a:off x="0" y="0"/>
                    <a:ext cx="611505" cy="733425"/>
                  </a:xfrm>
                  <a:prstGeom prst="rect">
                    <a:avLst/>
                  </a:prstGeom>
                  <a:noFill/>
                  <a:ln w="12700">
                    <a:noFill/>
                  </a:ln>
                </pic:spPr>
              </pic:pic>
            </a:graphicData>
          </a:graphic>
        </wp:anchor>
      </w:drawing>
    </w:r>
    <w:r>
      <w:rPr>
        <w:noProof/>
      </w:rPr>
      <mc:AlternateContent>
        <mc:Choice Requires="wps">
          <w:drawing>
            <wp:anchor distT="0" distB="0" distL="114300" distR="114300" simplePos="0" relativeHeight="251659264" behindDoc="0" locked="0" layoutInCell="0" allowOverlap="1" wp14:anchorId="0A641137" wp14:editId="56AD273D">
              <wp:simplePos x="0" y="0"/>
              <wp:positionH relativeFrom="column">
                <wp:posOffset>385428</wp:posOffset>
              </wp:positionH>
              <wp:positionV relativeFrom="paragraph">
                <wp:posOffset>-194344</wp:posOffset>
              </wp:positionV>
              <wp:extent cx="4762500" cy="495300"/>
              <wp:effectExtent l="6350" t="6350" r="12700" b="12700"/>
              <wp:wrapNone/>
              <wp:docPr id="4" name="Rectángulo 2"/>
              <wp:cNvGraphicFramePr/>
              <a:graphic xmlns:a="http://schemas.openxmlformats.org/drawingml/2006/main">
                <a:graphicData uri="http://schemas.microsoft.com/office/word/2010/wordprocessingShape">
                  <wps:wsp>
                    <wps:cNvSpPr/>
                    <wps:spPr>
                      <a:xfrm>
                        <a:off x="0" y="0"/>
                        <a:ext cx="4762500" cy="495300"/>
                      </a:xfrm>
                      <a:prstGeom prst="rect">
                        <a:avLst/>
                      </a:prstGeom>
                      <a:solidFill>
                        <a:srgbClr val="FFFFFF"/>
                      </a:solidFill>
                      <a:ln w="12700">
                        <a:solidFill>
                          <a:srgbClr val="FFFFFF"/>
                        </a:solidFill>
                      </a:ln>
                    </wps:spPr>
                    <wps:txbx>
                      <w:txbxContent>
                        <w:p w14:paraId="1E2BB063" w14:textId="77777777" w:rsidR="00000000" w:rsidRDefault="00B0305E">
                          <w:pPr>
                            <w:jc w:val="center"/>
                            <w:rPr>
                              <w:rFonts w:ascii="Algerian" w:hAnsi="Algerian"/>
                              <w:sz w:val="16"/>
                              <w:szCs w:val="16"/>
                            </w:rPr>
                          </w:pPr>
                          <w:r>
                            <w:rPr>
                              <w:rFonts w:ascii="Algerian" w:hAnsi="Algerian"/>
                              <w:b/>
                              <w:bCs/>
                              <w:color w:val="000000"/>
                              <w:shd w:val="clear" w:color="auto" w:fill="FFFFFF"/>
                            </w:rPr>
                            <w:t>“AÑO DE LA ESPERANZA Y FORTALECIMIENTO DE LA DEMOCRACIA”</w:t>
                          </w:r>
                        </w:p>
                      </w:txbxContent>
                    </wps:txbx>
                    <wps:bodyPr spcFirstLastPara="1" vertOverflow="clip" horzOverflow="clip" lIns="91440" tIns="45720" rIns="91440" bIns="45720" anchor="ctr" upright="1">
                      <a:noAutofit/>
                    </wps:bodyPr>
                  </wps:wsp>
                </a:graphicData>
              </a:graphic>
            </wp:anchor>
          </w:drawing>
        </mc:Choice>
        <mc:Fallback>
          <w:pict>
            <v:rect w14:anchorId="0A641137" id="Rectángulo 2" o:spid="_x0000_s1026" style="position:absolute;margin-left:30.35pt;margin-top:-15.3pt;width:3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" o:allowincell="f" strokecolor="white" strokeweight="1pt">
              <v:textbox>
                <w:txbxContent>
                  <w:p w14:paraId="1E2BB063" w14:textId="77777777" w:rsidR="00000000" w:rsidRDefault="00B0305E">
                    <w:pPr>
                      <w:jc w:val="center"/>
                      <w:rPr>
                        <w:rFonts w:ascii="Algerian" w:hAnsi="Algerian"/>
                        <w:sz w:val="16"/>
                        <w:szCs w:val="16"/>
                      </w:rPr>
                    </w:pPr>
                    <w:r>
                      <w:rPr>
                        <w:rFonts w:ascii="Algerian" w:hAnsi="Algerian"/>
                        <w:b/>
                        <w:bCs/>
                        <w:color w:val="000000"/>
                        <w:shd w:val="clear" w:color="auto" w:fill="FFFFFF"/>
                      </w:rPr>
                      <w:t>“AÑO DE LA ESPERANZA Y FORTALECIMIENTO DE LA DEMOCRACIA”</w:t>
                    </w:r>
                  </w:p>
                </w:txbxContent>
              </v:textbox>
            </v:rect>
          </w:pict>
        </mc:Fallback>
      </mc:AlternateContent>
    </w:r>
    <w:r>
      <w:rPr>
        <w:noProof/>
      </w:rPr>
      <w:drawing>
        <wp:anchor distT="0" distB="0" distL="114300" distR="114300" simplePos="0" relativeHeight="251661312" behindDoc="0" locked="0" layoutInCell="0" allowOverlap="1" wp14:anchorId="392C5DEA" wp14:editId="458E73BD">
          <wp:simplePos x="0" y="0"/>
          <wp:positionH relativeFrom="margin">
            <wp:posOffset>-231638</wp:posOffset>
          </wp:positionH>
          <wp:positionV relativeFrom="paragraph">
            <wp:posOffset>-358964</wp:posOffset>
          </wp:positionV>
          <wp:extent cx="522846" cy="70233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2"/>
                  <a:stretch>
                    <a:fillRect/>
                  </a:stretch>
                </pic:blipFill>
                <pic:spPr>
                  <a:xfrm>
                    <a:off x="0" y="0"/>
                    <a:ext cx="527880" cy="709093"/>
                  </a:xfrm>
                  <a:prstGeom prst="rect">
                    <a:avLst/>
                  </a:prstGeom>
                  <a:noFill/>
                  <a:ln w="12700">
                    <a:noFill/>
                  </a:ln>
                </pic:spPr>
              </pic:pic>
            </a:graphicData>
          </a:graphic>
          <wp14:sizeRelH relativeFrom="margin">
            <wp14:pctWidth>0</wp14:pctWidth>
          </wp14:sizeRelH>
          <wp14:sizeRelV relativeFrom="margin">
            <wp14:pctHeight>0</wp14:pctHeight>
          </wp14:sizeRelV>
        </wp:anchor>
      </w:drawing>
    </w:r>
  </w:p>
  <w:p w14:paraId="7E3DED06"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1BF"/>
    <w:multiLevelType w:val="hybridMultilevel"/>
    <w:tmpl w:val="ABAEBDCC"/>
    <w:lvl w:ilvl="0" w:tplc="16C27F56">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EAC33EC"/>
    <w:multiLevelType w:val="hybridMultilevel"/>
    <w:tmpl w:val="BF743EF6"/>
    <w:lvl w:ilvl="0" w:tplc="A2089530">
      <w:start w:val="1"/>
      <w:numFmt w:val="bullet"/>
      <w:lvlText w:val="-"/>
      <w:lvlJc w:val="left"/>
      <w:pPr>
        <w:ind w:left="720" w:hanging="360"/>
      </w:pPr>
      <w:rPr>
        <w:rFonts w:ascii="Candara" w:eastAsia="Times New Roman" w:hAnsi="Candar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0524645">
    <w:abstractNumId w:val="1"/>
  </w:num>
  <w:num w:numId="2" w16cid:durableId="164773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8C"/>
    <w:rsid w:val="000B0132"/>
    <w:rsid w:val="001A1940"/>
    <w:rsid w:val="001B080A"/>
    <w:rsid w:val="00257C13"/>
    <w:rsid w:val="002A1ECE"/>
    <w:rsid w:val="00321FD2"/>
    <w:rsid w:val="004C5F87"/>
    <w:rsid w:val="00602ACE"/>
    <w:rsid w:val="006944F2"/>
    <w:rsid w:val="007E728C"/>
    <w:rsid w:val="00850EDD"/>
    <w:rsid w:val="008A03A7"/>
    <w:rsid w:val="00A30041"/>
    <w:rsid w:val="00B0305E"/>
    <w:rsid w:val="00C21EC8"/>
    <w:rsid w:val="00E00D0B"/>
    <w:rsid w:val="00EB7F3E"/>
    <w:rsid w:val="00EE414B"/>
    <w:rsid w:val="00F649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A890"/>
  <w15:chartTrackingRefBased/>
  <w15:docId w15:val="{925A0C64-8371-4F98-9659-309BA07F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2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7E728C"/>
    <w:pPr>
      <w:tabs>
        <w:tab w:val="center" w:pos="4252"/>
        <w:tab w:val="right" w:pos="8504"/>
      </w:tabs>
    </w:pPr>
  </w:style>
  <w:style w:type="character" w:customStyle="1" w:styleId="EncabezadoCar">
    <w:name w:val="Encabezado Car"/>
    <w:basedOn w:val="Fuentedeprrafopredeter"/>
    <w:link w:val="Encabezado"/>
    <w:rsid w:val="007E728C"/>
    <w:rPr>
      <w:rFonts w:ascii="Times New Roman" w:eastAsia="Times New Roman" w:hAnsi="Times New Roman" w:cs="Times New Roman"/>
      <w:sz w:val="24"/>
      <w:szCs w:val="24"/>
      <w:lang w:val="es-ES" w:eastAsia="es-ES"/>
    </w:rPr>
  </w:style>
  <w:style w:type="table" w:styleId="Tablaconcuadrcula">
    <w:name w:val="Table Grid"/>
    <w:basedOn w:val="Tablanormal"/>
    <w:qFormat/>
    <w:rsid w:val="007E728C"/>
    <w:pPr>
      <w:spacing w:after="0" w:line="240" w:lineRule="auto"/>
    </w:pPr>
    <w:rPr>
      <w:rFonts w:ascii="Times New Roman" w:eastAsia="SimSu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rsid w:val="007E728C"/>
    <w:pPr>
      <w:ind w:left="720"/>
      <w:contextualSpacing/>
    </w:pPr>
  </w:style>
  <w:style w:type="paragraph" w:styleId="Piedepgina">
    <w:name w:val="footer"/>
    <w:basedOn w:val="Normal"/>
    <w:link w:val="PiedepginaCar"/>
    <w:uiPriority w:val="99"/>
    <w:unhideWhenUsed/>
    <w:rsid w:val="007E728C"/>
    <w:pPr>
      <w:tabs>
        <w:tab w:val="center" w:pos="4252"/>
        <w:tab w:val="right" w:pos="8504"/>
      </w:tabs>
    </w:pPr>
  </w:style>
  <w:style w:type="character" w:customStyle="1" w:styleId="PiedepginaCar">
    <w:name w:val="Pie de página Car"/>
    <w:basedOn w:val="Fuentedeprrafopredeter"/>
    <w:link w:val="Piedepgina"/>
    <w:uiPriority w:val="99"/>
    <w:rsid w:val="007E72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jeral maycol rivera curipaco</cp:lastModifiedBy>
  <cp:revision>2</cp:revision>
  <cp:lastPrinted>2026-03-19T00:51:00Z</cp:lastPrinted>
  <dcterms:created xsi:type="dcterms:W3CDTF">2026-03-19T20:06:00Z</dcterms:created>
  <dcterms:modified xsi:type="dcterms:W3CDTF">2026-03-19T20:06:00Z</dcterms:modified>
</cp:coreProperties>
</file>